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A281" w14:textId="77777777" w:rsidR="00C61282" w:rsidRPr="005D1758" w:rsidRDefault="00C61282" w:rsidP="00C61282">
      <w:pPr>
        <w:jc w:val="center"/>
        <w:rPr>
          <w:b/>
          <w:bCs/>
          <w:sz w:val="56"/>
          <w:szCs w:val="56"/>
        </w:rPr>
      </w:pPr>
      <w:r w:rsidRPr="005D1758">
        <w:rPr>
          <w:b/>
          <w:bCs/>
          <w:sz w:val="56"/>
          <w:szCs w:val="56"/>
        </w:rPr>
        <w:t xml:space="preserve">Ocena ryzyka środowiskowego </w:t>
      </w:r>
      <w:r w:rsidRPr="005D1758">
        <w:rPr>
          <w:b/>
          <w:bCs/>
          <w:sz w:val="56"/>
          <w:szCs w:val="56"/>
        </w:rPr>
        <w:br/>
        <w:t>i społecznego (ORŚIS)</w:t>
      </w:r>
    </w:p>
    <w:p w14:paraId="3252FCB7" w14:textId="77777777" w:rsidR="00C61282" w:rsidRPr="00D711DA" w:rsidRDefault="00C61282" w:rsidP="00C61282">
      <w:pPr>
        <w:jc w:val="center"/>
        <w:rPr>
          <w:b/>
          <w:bCs/>
          <w:color w:val="000000"/>
          <w:sz w:val="36"/>
          <w:szCs w:val="36"/>
        </w:rPr>
      </w:pPr>
      <w:r w:rsidRPr="0093598E">
        <w:rPr>
          <w:b/>
          <w:bCs/>
          <w:color w:val="000000"/>
          <w:sz w:val="36"/>
          <w:szCs w:val="36"/>
        </w:rPr>
        <w:t xml:space="preserve">dla </w:t>
      </w:r>
      <w:proofErr w:type="spellStart"/>
      <w:r w:rsidRPr="00C61282">
        <w:rPr>
          <w:b/>
          <w:bCs/>
          <w:color w:val="000000"/>
          <w:sz w:val="36"/>
          <w:szCs w:val="36"/>
        </w:rPr>
        <w:t>Tiofan</w:t>
      </w:r>
      <w:proofErr w:type="spellEnd"/>
      <w:r w:rsidRPr="00C61282">
        <w:rPr>
          <w:b/>
          <w:bCs/>
          <w:color w:val="000000"/>
          <w:sz w:val="36"/>
          <w:szCs w:val="36"/>
        </w:rPr>
        <w:t xml:space="preserve"> 500 SC</w:t>
      </w:r>
      <w:r w:rsidRPr="00D711DA">
        <w:rPr>
          <w:b/>
          <w:bCs/>
          <w:color w:val="000000"/>
          <w:sz w:val="36"/>
          <w:szCs w:val="36"/>
        </w:rPr>
        <w:br/>
      </w:r>
      <w:r w:rsidRPr="00EA4BB0">
        <w:rPr>
          <w:b/>
          <w:bCs/>
          <w:color w:val="000000"/>
          <w:sz w:val="36"/>
          <w:szCs w:val="36"/>
        </w:rPr>
        <w:t xml:space="preserve">(substancja czynna </w:t>
      </w:r>
      <w:proofErr w:type="spellStart"/>
      <w:r w:rsidRPr="00AA6E02">
        <w:rPr>
          <w:b/>
          <w:bCs/>
          <w:color w:val="000000"/>
          <w:sz w:val="36"/>
          <w:szCs w:val="36"/>
        </w:rPr>
        <w:t>tiofanat</w:t>
      </w:r>
      <w:proofErr w:type="spellEnd"/>
      <w:r w:rsidRPr="00AA6E02">
        <w:rPr>
          <w:b/>
          <w:bCs/>
          <w:color w:val="000000"/>
          <w:sz w:val="36"/>
          <w:szCs w:val="36"/>
        </w:rPr>
        <w:t xml:space="preserve"> metylowy</w:t>
      </w:r>
      <w:r w:rsidRPr="00EA4BB0">
        <w:rPr>
          <w:b/>
          <w:bCs/>
          <w:color w:val="000000"/>
          <w:sz w:val="36"/>
          <w:szCs w:val="36"/>
        </w:rPr>
        <w:t>)</w:t>
      </w:r>
    </w:p>
    <w:p w14:paraId="34B5C7C1" w14:textId="77777777" w:rsidR="00C61282" w:rsidRDefault="00C61282" w:rsidP="00C61282">
      <w:pPr>
        <w:pStyle w:val="LPpodstawowyinterlinia1"/>
        <w:ind w:firstLine="0"/>
        <w:rPr>
          <w:b/>
          <w:bCs/>
          <w:sz w:val="28"/>
          <w:szCs w:val="28"/>
        </w:rPr>
      </w:pPr>
    </w:p>
    <w:p w14:paraId="3CBD17B2" w14:textId="77777777" w:rsidR="00C61282" w:rsidRDefault="00C61282" w:rsidP="00C612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(wersja 1.1 - marzec 2021)</w:t>
      </w:r>
    </w:p>
    <w:p w14:paraId="3D42E6AC" w14:textId="77777777" w:rsidR="00C61282" w:rsidRPr="005D1758" w:rsidRDefault="00C61282" w:rsidP="00C61282">
      <w:pPr>
        <w:jc w:val="center"/>
        <w:rPr>
          <w:b/>
          <w:bCs/>
        </w:rPr>
      </w:pPr>
    </w:p>
    <w:p w14:paraId="4A983A9C" w14:textId="77777777" w:rsidR="00C61282" w:rsidRPr="005D1758" w:rsidRDefault="00C61282" w:rsidP="00C61282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t>WSTĘP</w:t>
      </w:r>
    </w:p>
    <w:p w14:paraId="4D0D629D" w14:textId="77777777" w:rsidR="00C61282" w:rsidRPr="00EA4BB0" w:rsidRDefault="00C61282" w:rsidP="00C61282">
      <w:pPr>
        <w:jc w:val="both"/>
        <w:rPr>
          <w:rFonts w:cs="Arial"/>
          <w:color w:val="000000"/>
        </w:rPr>
      </w:pPr>
      <w:r w:rsidRPr="00EA4BB0">
        <w:rPr>
          <w:rFonts w:cs="Arial"/>
          <w:color w:val="000000"/>
        </w:rPr>
        <w:t xml:space="preserve">Lasy Państwowe jako państwowa jednostka organizacyjna nieposiadająca osobowości prawnej, reprezentują Skarb Państwa w zakresie zarządzanego mienia. Porządek prawny, który reguluje całokształt działań związanych z prowadzeniem trwałej i zrównoważonej gospodarki leśnej w Polsce określony jest w Ustawie o lasach z dnia 28 września 1991 roku (z </w:t>
      </w:r>
      <w:proofErr w:type="spellStart"/>
      <w:r w:rsidRPr="00EA4BB0">
        <w:rPr>
          <w:rFonts w:cs="Arial"/>
          <w:color w:val="000000"/>
        </w:rPr>
        <w:t>późn</w:t>
      </w:r>
      <w:proofErr w:type="spellEnd"/>
      <w:r w:rsidRPr="00EA4BB0">
        <w:rPr>
          <w:rFonts w:cs="Arial"/>
          <w:color w:val="000000"/>
        </w:rPr>
        <w:t xml:space="preserve">. zm.), gdzie trwale połączono leśnictwo z ochroną przyrody i ochroną środowiska oraz określono zasady prowadzenia gospodarki leśnej w Polsce. </w:t>
      </w:r>
    </w:p>
    <w:p w14:paraId="158D091D" w14:textId="77777777" w:rsidR="00C61282" w:rsidRPr="00EA4BB0" w:rsidRDefault="00C61282" w:rsidP="00C61282">
      <w:pPr>
        <w:jc w:val="both"/>
        <w:rPr>
          <w:b/>
          <w:bCs/>
          <w:color w:val="000000"/>
        </w:rPr>
      </w:pPr>
      <w:r w:rsidRPr="00EA4BB0">
        <w:rPr>
          <w:rFonts w:cs="Arial"/>
          <w:color w:val="000000"/>
        </w:rPr>
        <w:t xml:space="preserve">Zgodnie z uregulowaniami ustawy o lasach, w celu zapewnienia powszechnej ochrony lasów, właściciele lasów są obowiązani do kształtowania równowagi w ekosystemach leśnych, podnoszenia naturalnej odporności drzewostanów, a w szczególności do zapobiegania, wykrywania i zwalczania nadmiernie pojawiających i rozprzestrzeniających się organizmów szkodliwych (art. 9 </w:t>
      </w:r>
      <w:proofErr w:type="spellStart"/>
      <w:r w:rsidRPr="00EA4BB0">
        <w:rPr>
          <w:rFonts w:cs="Arial"/>
          <w:color w:val="000000"/>
        </w:rPr>
        <w:t>uol</w:t>
      </w:r>
      <w:proofErr w:type="spellEnd"/>
      <w:r w:rsidRPr="00EA4BB0">
        <w:rPr>
          <w:rFonts w:cs="Arial"/>
          <w:color w:val="000000"/>
        </w:rPr>
        <w:t xml:space="preserve">). Ustawa nakłada na nadleśniczego obowiązek wykonywania zabiegów zwalczających i ochronnych w razie wystąpienia organizmów szkodliwych, w stopniu zagrażającym trwałości lasów (art. 10 </w:t>
      </w:r>
      <w:proofErr w:type="spellStart"/>
      <w:r w:rsidRPr="00EA4BB0">
        <w:rPr>
          <w:rFonts w:cs="Arial"/>
          <w:color w:val="000000"/>
        </w:rPr>
        <w:t>uol</w:t>
      </w:r>
      <w:proofErr w:type="spellEnd"/>
      <w:r w:rsidRPr="00EA4BB0">
        <w:rPr>
          <w:rFonts w:cs="Arial"/>
          <w:color w:val="000000"/>
        </w:rPr>
        <w:t xml:space="preserve">). Ustawa o lasach nakłada ponadto obowiązek trwałego utrzymywania lasów i zapewniania ciągłości ich użytkowania (art. 13 </w:t>
      </w:r>
      <w:proofErr w:type="spellStart"/>
      <w:r w:rsidRPr="00EA4BB0">
        <w:rPr>
          <w:rFonts w:cs="Arial"/>
          <w:color w:val="000000"/>
        </w:rPr>
        <w:t>uol</w:t>
      </w:r>
      <w:proofErr w:type="spellEnd"/>
      <w:r w:rsidRPr="00EA4BB0">
        <w:rPr>
          <w:rFonts w:cs="Arial"/>
          <w:color w:val="000000"/>
        </w:rPr>
        <w:t>).</w:t>
      </w:r>
    </w:p>
    <w:p w14:paraId="5EA35C79" w14:textId="77777777" w:rsidR="00C61282" w:rsidRPr="00EA4BB0" w:rsidRDefault="00C61282" w:rsidP="00C61282">
      <w:pPr>
        <w:jc w:val="both"/>
        <w:rPr>
          <w:b/>
          <w:bCs/>
          <w:color w:val="000000"/>
        </w:rPr>
      </w:pPr>
      <w:r w:rsidRPr="00EA4BB0">
        <w:rPr>
          <w:rFonts w:cs="Arial"/>
          <w:color w:val="000000"/>
        </w:rPr>
        <w:t xml:space="preserve">Leśnictwo jako gałąź gospodarki narodowej, z uwagi na uwarunkowania klimatyczne, ekologiczne i drzewostanowe, zmuszone jest posiłkować się środkami ochrony roślin. Środki te używane są wyłącznie w uzasadnionych sytuacjach, zawsze z poszanowaniem obowiązujących przepisów, w ograniczonym zakresie i w usprawiedliwionych okolicznościach. </w:t>
      </w:r>
    </w:p>
    <w:p w14:paraId="3C1F7DFA" w14:textId="77777777" w:rsidR="00C61282" w:rsidRPr="00EA4BB0" w:rsidRDefault="00C61282" w:rsidP="00C61282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EA4BB0">
        <w:rPr>
          <w:rFonts w:cs="Arial"/>
          <w:color w:val="000000"/>
        </w:rPr>
        <w:t>Stosowane obecnie w leśnictwie środki ochrony roślin dopuszczone prawem krajowym oraz przepisami Unii Europejskiej, zawarte są w sporządzanym co roku przez Instytut Badawczy Leśnictwa opracowaniu (broszurze) „Środki ochrony roślin oraz środki biobójcze do stosowania w leśnictwie” i obejmującej środki zarejestrowane dla leśnictwa przez Ministra Rolnictwa i Rozwoju Wsi. Opracowanie to jest na bieżąco aktualizowane i udostępniane:</w:t>
      </w:r>
    </w:p>
    <w:p w14:paraId="1F30A881" w14:textId="77777777" w:rsidR="00C61282" w:rsidRDefault="00A826B9" w:rsidP="00C61282">
      <w:pPr>
        <w:jc w:val="both"/>
        <w:rPr>
          <w:rStyle w:val="Hipercze"/>
          <w:rFonts w:cs="Arial"/>
        </w:rPr>
      </w:pPr>
      <w:hyperlink r:id="rId8" w:history="1">
        <w:r w:rsidR="00C61282" w:rsidRPr="00AA6E02">
          <w:rPr>
            <w:rStyle w:val="Hipercze"/>
            <w:rFonts w:cs="Arial"/>
          </w:rPr>
          <w:t>http://www.lasy.gov.pl/pl/pro/publikacje/copy_of_gospodarka-lesna/ochrona_lasu/srodki-ochrony-roslin/</w:t>
        </w:r>
      </w:hyperlink>
    </w:p>
    <w:p w14:paraId="28BD17AF" w14:textId="77777777" w:rsidR="00C61282" w:rsidRDefault="00C61282" w:rsidP="00C61282">
      <w:pPr>
        <w:jc w:val="both"/>
        <w:rPr>
          <w:rStyle w:val="Hipercze"/>
          <w:rFonts w:cs="Arial"/>
        </w:rPr>
      </w:pPr>
    </w:p>
    <w:p w14:paraId="79425E9A" w14:textId="77777777" w:rsidR="00C61282" w:rsidRDefault="00C61282" w:rsidP="00C61282">
      <w:pPr>
        <w:jc w:val="both"/>
        <w:rPr>
          <w:rStyle w:val="Hipercze"/>
          <w:rFonts w:cs="Arial"/>
        </w:rPr>
      </w:pPr>
    </w:p>
    <w:p w14:paraId="02342579" w14:textId="77777777" w:rsidR="00C61282" w:rsidRDefault="00C61282" w:rsidP="00C61282">
      <w:pPr>
        <w:jc w:val="both"/>
        <w:rPr>
          <w:rStyle w:val="Hipercze"/>
          <w:rFonts w:cs="Arial"/>
        </w:rPr>
      </w:pPr>
    </w:p>
    <w:p w14:paraId="258E393F" w14:textId="77777777" w:rsidR="0031261D" w:rsidRPr="005D1758" w:rsidRDefault="0031261D" w:rsidP="00C61282">
      <w:pPr>
        <w:jc w:val="both"/>
        <w:rPr>
          <w:color w:val="000000" w:themeColor="text1"/>
        </w:rPr>
      </w:pPr>
    </w:p>
    <w:p w14:paraId="5C36F8C2" w14:textId="77777777" w:rsidR="00E26FA4" w:rsidRPr="005D1758" w:rsidRDefault="00E26FA4" w:rsidP="00BE4E1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lastRenderedPageBreak/>
        <w:t xml:space="preserve">Zakres </w:t>
      </w:r>
    </w:p>
    <w:p w14:paraId="43F21746" w14:textId="77777777" w:rsidR="00E26FA4" w:rsidRPr="005D1758" w:rsidRDefault="005D1758" w:rsidP="0031261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Kraj</w:t>
      </w:r>
      <w:r w:rsidR="00E26FA4" w:rsidRPr="005D1758">
        <w:rPr>
          <w:b/>
          <w:color w:val="000000" w:themeColor="text1"/>
        </w:rPr>
        <w:t xml:space="preserve">: </w:t>
      </w:r>
      <w:r w:rsidR="00E26FA4" w:rsidRPr="005D1758">
        <w:rPr>
          <w:color w:val="000000" w:themeColor="text1"/>
        </w:rPr>
        <w:t>Polska</w:t>
      </w:r>
    </w:p>
    <w:p w14:paraId="3973A861" w14:textId="77777777" w:rsidR="00E26FA4" w:rsidRPr="005D1758" w:rsidRDefault="00E26FA4" w:rsidP="00E26FA4">
      <w:pPr>
        <w:rPr>
          <w:bCs/>
        </w:rPr>
      </w:pPr>
      <w:r w:rsidRPr="005D1758">
        <w:rPr>
          <w:b/>
          <w:bCs/>
        </w:rPr>
        <w:t xml:space="preserve">Substancja aktywna: </w:t>
      </w:r>
      <w:proofErr w:type="spellStart"/>
      <w:r w:rsidR="00842247">
        <w:rPr>
          <w:bCs/>
        </w:rPr>
        <w:t>tiofanat</w:t>
      </w:r>
      <w:proofErr w:type="spellEnd"/>
      <w:r w:rsidR="00842247">
        <w:rPr>
          <w:bCs/>
        </w:rPr>
        <w:t xml:space="preserve"> metylowy (związek z grupy </w:t>
      </w:r>
      <w:proofErr w:type="spellStart"/>
      <w:r w:rsidR="00842247">
        <w:rPr>
          <w:bCs/>
        </w:rPr>
        <w:t>benzimidazoli</w:t>
      </w:r>
      <w:proofErr w:type="spellEnd"/>
      <w:r w:rsidR="00842247">
        <w:rPr>
          <w:bCs/>
        </w:rPr>
        <w:t>)</w:t>
      </w:r>
      <w:r w:rsidR="002D2428">
        <w:rPr>
          <w:bCs/>
        </w:rPr>
        <w:t xml:space="preserve"> </w:t>
      </w:r>
    </w:p>
    <w:p w14:paraId="250F63D0" w14:textId="77777777" w:rsidR="00C75CAA" w:rsidRPr="00070E92" w:rsidRDefault="00CA50AD" w:rsidP="00C75CAA">
      <w:pPr>
        <w:spacing w:after="0" w:line="276" w:lineRule="auto"/>
        <w:jc w:val="both"/>
        <w:rPr>
          <w:bCs/>
        </w:rPr>
      </w:pPr>
      <w:r w:rsidRPr="005D1758">
        <w:rPr>
          <w:b/>
          <w:bCs/>
        </w:rPr>
        <w:t>Cel</w:t>
      </w:r>
      <w:r w:rsidR="00C56B12">
        <w:rPr>
          <w:b/>
          <w:bCs/>
        </w:rPr>
        <w:t xml:space="preserve">e zastosowania: </w:t>
      </w:r>
      <w:proofErr w:type="spellStart"/>
      <w:r w:rsidR="009A45EF">
        <w:rPr>
          <w:bCs/>
        </w:rPr>
        <w:t>Tiofan</w:t>
      </w:r>
      <w:proofErr w:type="spellEnd"/>
      <w:r w:rsidR="008F18D6">
        <w:rPr>
          <w:bCs/>
        </w:rPr>
        <w:t xml:space="preserve"> </w:t>
      </w:r>
      <w:r w:rsidR="002B3F16">
        <w:rPr>
          <w:bCs/>
        </w:rPr>
        <w:t>500 SC</w:t>
      </w:r>
      <w:r w:rsidR="00842247">
        <w:rPr>
          <w:bCs/>
        </w:rPr>
        <w:t xml:space="preserve"> jest fungicydem stosowanym</w:t>
      </w:r>
      <w:r w:rsidR="00070E92">
        <w:rPr>
          <w:b/>
          <w:bCs/>
        </w:rPr>
        <w:t xml:space="preserve"> </w:t>
      </w:r>
      <w:r w:rsidR="00413090">
        <w:rPr>
          <w:bCs/>
        </w:rPr>
        <w:t>w leśnictwie zapobiegawczo</w:t>
      </w:r>
      <w:r w:rsidR="00842247">
        <w:rPr>
          <w:bCs/>
        </w:rPr>
        <w:t xml:space="preserve">, interwencyjnie lub w celu zwalczania chorób grzybowych roślin w szkółkarstwie leśnym, </w:t>
      </w:r>
      <w:r w:rsidR="00017B78">
        <w:rPr>
          <w:bCs/>
        </w:rPr>
        <w:br/>
      </w:r>
      <w:r w:rsidR="00842247">
        <w:rPr>
          <w:bCs/>
        </w:rPr>
        <w:t xml:space="preserve">w odnowieniach, zalesieniach oraz na plantacjach nasiennych drzew leśnych. Służy przede wszystkim do zwalczania chorób grzybowych tj. zgorzel siewek, szara pleśń, rdze, plamistość liści, </w:t>
      </w:r>
      <w:proofErr w:type="spellStart"/>
      <w:r w:rsidR="00842247">
        <w:rPr>
          <w:bCs/>
        </w:rPr>
        <w:t>werticilioza</w:t>
      </w:r>
      <w:proofErr w:type="spellEnd"/>
      <w:r w:rsidR="00842247">
        <w:rPr>
          <w:bCs/>
        </w:rPr>
        <w:t>, wiosenna osutka sosny, wierzchołkowe zamieranie pędów, zgnilizna korzeniowa.</w:t>
      </w:r>
    </w:p>
    <w:p w14:paraId="5A74DC7B" w14:textId="77777777" w:rsidR="00C75CAA" w:rsidRDefault="00C75CAA" w:rsidP="00C75CAA">
      <w:pPr>
        <w:spacing w:after="0" w:line="276" w:lineRule="auto"/>
        <w:jc w:val="both"/>
        <w:rPr>
          <w:b/>
          <w:bCs/>
        </w:rPr>
      </w:pPr>
    </w:p>
    <w:p w14:paraId="2D481E2A" w14:textId="77777777" w:rsidR="005D5D27" w:rsidRDefault="005D5D27" w:rsidP="005D5D27">
      <w:pPr>
        <w:rPr>
          <w:b/>
          <w:bCs/>
        </w:rPr>
      </w:pPr>
      <w:r>
        <w:rPr>
          <w:b/>
          <w:bCs/>
        </w:rPr>
        <w:t xml:space="preserve">Jednostka wykonująca </w:t>
      </w:r>
      <w:r>
        <w:rPr>
          <w:rStyle w:val="Pogrubienie"/>
        </w:rPr>
        <w:t>ORŚIS (posiadacz certyfikatu):</w:t>
      </w:r>
      <w:r>
        <w:rPr>
          <w:b/>
          <w:bCs/>
        </w:rPr>
        <w:t xml:space="preserve"> </w:t>
      </w:r>
    </w:p>
    <w:p w14:paraId="7434C7AD" w14:textId="685B8A55" w:rsidR="005D5D27" w:rsidRDefault="005D5D27" w:rsidP="005D5D27">
      <w:pPr>
        <w:rPr>
          <w:b/>
          <w:bCs/>
        </w:rPr>
      </w:pPr>
      <w:r>
        <w:rPr>
          <w:bCs/>
        </w:rPr>
        <w:t>Regionalna Dyrekcja Lasów Państwowych w Zielonej Górze (nr certyfikatu SGS-FM/COC-009010)</w:t>
      </w:r>
    </w:p>
    <w:p w14:paraId="27DD32BB" w14:textId="77777777" w:rsidR="005D5D27" w:rsidRDefault="005D5D27" w:rsidP="005D5D27">
      <w:pPr>
        <w:rPr>
          <w:b/>
          <w:bCs/>
        </w:rPr>
      </w:pPr>
    </w:p>
    <w:p w14:paraId="6BF00593" w14:textId="77777777" w:rsidR="005D5D27" w:rsidRDefault="005D5D27" w:rsidP="005D5D27">
      <w:pPr>
        <w:rPr>
          <w:b/>
          <w:bCs/>
        </w:rPr>
      </w:pPr>
      <w:r>
        <w:rPr>
          <w:b/>
          <w:bCs/>
        </w:rPr>
        <w:t xml:space="preserve">Jednostka gospodarowania (nadleśnictwo) dla którego wykonany jest ORŚIS: </w:t>
      </w:r>
      <w:r>
        <w:rPr>
          <w:bCs/>
        </w:rPr>
        <w:t xml:space="preserve">Nadleśnictwo </w:t>
      </w:r>
    </w:p>
    <w:p w14:paraId="7212C9D7" w14:textId="77777777" w:rsidR="005D5D27" w:rsidRDefault="005D5D27" w:rsidP="005D5D27">
      <w:pPr>
        <w:jc w:val="both"/>
        <w:rPr>
          <w:bCs/>
        </w:rPr>
      </w:pPr>
      <w:r>
        <w:rPr>
          <w:bCs/>
        </w:rPr>
        <w:t>Cybinka, Brzózka, Gubin, Krosno, Krzystkowice, Lipinki, Lubsko, Nowa Sól, Sława Śląska, Wolsztyn, Świebodzin, Szprotawa, Torzym, Wolsztyn, Wymiarki, Zielona Góra, Babimost, Przytok, Żagań, Bytnica.</w:t>
      </w:r>
    </w:p>
    <w:p w14:paraId="5F8E2B3B" w14:textId="77777777" w:rsidR="00DC6CFA" w:rsidRPr="00293732" w:rsidRDefault="00DC6CFA" w:rsidP="00DC6CFA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6C1D6C98" w14:textId="77777777" w:rsidR="00DC6CFA" w:rsidRPr="00293732" w:rsidRDefault="00DC6CFA" w:rsidP="00DC6CFA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293732">
        <w:rPr>
          <w:rFonts w:asciiTheme="minorHAnsi" w:hAnsiTheme="minorHAnsi" w:cstheme="minorBidi"/>
          <w:b/>
          <w:bCs/>
          <w:color w:val="auto"/>
          <w:sz w:val="22"/>
          <w:szCs w:val="22"/>
        </w:rPr>
        <w:t>Ocena ryzyka środowiskowego i społecznego (ORŚIS) podzielona została na trzy części zgodnie z FSC-POL-30-001 V3-0:</w:t>
      </w:r>
    </w:p>
    <w:p w14:paraId="3FDBEE37" w14:textId="77777777" w:rsidR="00BE4E1B" w:rsidRPr="005D1758" w:rsidRDefault="00BE4E1B" w:rsidP="0086182E">
      <w:pPr>
        <w:jc w:val="both"/>
        <w:rPr>
          <w:rFonts w:cs="Arial"/>
        </w:rPr>
      </w:pPr>
    </w:p>
    <w:p w14:paraId="734E9C81" w14:textId="77777777" w:rsidR="007B568B" w:rsidRPr="005D1758" w:rsidRDefault="007B568B">
      <w:pPr>
        <w:rPr>
          <w:b/>
          <w:bCs/>
        </w:rPr>
      </w:pPr>
      <w:r w:rsidRPr="005D1758">
        <w:rPr>
          <w:b/>
          <w:bCs/>
        </w:rPr>
        <w:br w:type="page"/>
      </w:r>
    </w:p>
    <w:p w14:paraId="29D6E99D" w14:textId="77777777" w:rsidR="00F305AD" w:rsidRPr="005D1758" w:rsidRDefault="00606A36" w:rsidP="00C37558">
      <w:pPr>
        <w:pStyle w:val="Defaul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lastRenderedPageBreak/>
        <w:t>Opracowanie techniczne</w:t>
      </w:r>
      <w:r w:rsidR="00F305AD" w:rsidRPr="005D1758">
        <w:rPr>
          <w:rFonts w:asciiTheme="minorHAnsi" w:hAnsiTheme="minorHAnsi"/>
          <w:b/>
          <w:sz w:val="22"/>
          <w:szCs w:val="22"/>
        </w:rPr>
        <w:t>.</w:t>
      </w:r>
    </w:p>
    <w:p w14:paraId="34CD037A" w14:textId="77777777" w:rsidR="00BE4E1B" w:rsidRPr="005D1758" w:rsidRDefault="00BE4E1B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380B3830" w14:textId="77777777" w:rsidR="007B568B" w:rsidRPr="005D1758" w:rsidRDefault="00F37C0C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Część I</w:t>
      </w:r>
    </w:p>
    <w:p w14:paraId="21774D40" w14:textId="77777777" w:rsidR="00F37C0C" w:rsidRPr="005D1758" w:rsidRDefault="00F37C0C" w:rsidP="007B568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8DB527C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 xml:space="preserve">Ramy ORŚIS: rola Organizacji </w:t>
      </w:r>
    </w:p>
    <w:p w14:paraId="10F84EC5" w14:textId="77777777" w:rsidR="0027743D" w:rsidRDefault="0027743D" w:rsidP="0027743D">
      <w:pPr>
        <w:pStyle w:val="Default"/>
        <w:rPr>
          <w:rFonts w:asciiTheme="minorHAnsi" w:hAnsiTheme="minorHAnsi"/>
        </w:rPr>
      </w:pPr>
    </w:p>
    <w:p w14:paraId="20F28873" w14:textId="77777777" w:rsidR="0027743D" w:rsidRPr="0027743D" w:rsidRDefault="0027743D" w:rsidP="0027743D">
      <w:pPr>
        <w:pStyle w:val="Default"/>
        <w:rPr>
          <w:rFonts w:asciiTheme="minorHAnsi" w:hAnsiTheme="minorHAnsi"/>
          <w:b/>
        </w:rPr>
      </w:pPr>
      <w:r w:rsidRPr="0027743D">
        <w:rPr>
          <w:rFonts w:asciiTheme="minorHAnsi" w:hAnsiTheme="minorHAnsi"/>
          <w:b/>
        </w:rPr>
        <w:t xml:space="preserve">1. Co do zasady traktować w sposób preferencyjny: </w:t>
      </w:r>
    </w:p>
    <w:p w14:paraId="1369760D" w14:textId="77777777" w:rsidR="0027743D" w:rsidRPr="0027743D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 xml:space="preserve">1. metody </w:t>
      </w:r>
      <w:proofErr w:type="spellStart"/>
      <w:r w:rsidRPr="0027743D">
        <w:rPr>
          <w:rFonts w:asciiTheme="minorHAnsi" w:hAnsiTheme="minorHAnsi"/>
        </w:rPr>
        <w:t>niechemiczne</w:t>
      </w:r>
      <w:proofErr w:type="spellEnd"/>
      <w:r w:rsidRPr="0027743D">
        <w:rPr>
          <w:rFonts w:asciiTheme="minorHAnsi" w:hAnsiTheme="minorHAnsi"/>
        </w:rPr>
        <w:t xml:space="preserve"> w stosunku do pestycydów syntetycznych, </w:t>
      </w:r>
    </w:p>
    <w:p w14:paraId="4FE29522" w14:textId="77777777" w:rsidR="0027743D" w:rsidRPr="0027743D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 xml:space="preserve">2. pestycydy syntetyczne niewymienione w wykazach FSC WNP w stosunku do pestycydów wymienionych w wykazach FSC WNP, oraz </w:t>
      </w:r>
    </w:p>
    <w:p w14:paraId="42800CF9" w14:textId="77777777" w:rsidR="007B568B" w:rsidRPr="005D1758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>3. WNP objęte ograniczeniami przez FSC w stosunku do WNP objętych ścisłymi ograniczeniami przez FSC.</w:t>
      </w:r>
    </w:p>
    <w:p w14:paraId="457E7B35" w14:textId="77777777" w:rsidR="0027743D" w:rsidRDefault="0027743D" w:rsidP="0006615E">
      <w:pPr>
        <w:pStyle w:val="Default"/>
        <w:rPr>
          <w:rFonts w:asciiTheme="minorHAnsi" w:hAnsiTheme="minorHAnsi"/>
          <w:sz w:val="22"/>
          <w:szCs w:val="22"/>
        </w:rPr>
      </w:pPr>
    </w:p>
    <w:p w14:paraId="2049766C" w14:textId="77777777" w:rsidR="00DF794B" w:rsidRPr="0006615E" w:rsidRDefault="00DF794B" w:rsidP="0006615E">
      <w:pPr>
        <w:pStyle w:val="Default"/>
        <w:rPr>
          <w:rFonts w:asciiTheme="minorHAnsi" w:hAnsiTheme="minorHAnsi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Od dnia 1 stycznia 2014 r. obowiązują (również w leśnictwie) zasady integrowanej ochrony roślin określone w Rozporządzeniu Ministra Rolnictwa i Rozwoju Wsi (</w:t>
      </w:r>
      <w:proofErr w:type="spellStart"/>
      <w:r w:rsidRPr="0006615E">
        <w:rPr>
          <w:rFonts w:asciiTheme="minorHAnsi" w:hAnsiTheme="minorHAnsi"/>
          <w:color w:val="000000" w:themeColor="text1"/>
          <w:sz w:val="22"/>
          <w:szCs w:val="22"/>
        </w:rPr>
        <w:t>MRiRW</w:t>
      </w:r>
      <w:proofErr w:type="spellEnd"/>
      <w:r w:rsidRPr="0006615E">
        <w:rPr>
          <w:rFonts w:asciiTheme="minorHAnsi" w:hAnsiTheme="minorHAnsi"/>
          <w:color w:val="000000" w:themeColor="text1"/>
          <w:sz w:val="22"/>
          <w:szCs w:val="22"/>
        </w:rPr>
        <w:t>) z dnia 18 kwietnia 2013 r. W integrowanej ochronie roślin głównym celem wszystkich zabiegów pozostaje roślina.</w:t>
      </w:r>
    </w:p>
    <w:p w14:paraId="3D50E2BA" w14:textId="77777777" w:rsidR="00DF794B" w:rsidRPr="0006615E" w:rsidRDefault="00DF794B" w:rsidP="0006615E">
      <w:pPr>
        <w:pStyle w:val="Default"/>
        <w:spacing w:after="14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Bardzo ważnym elementem tej koncepcji jest profilaktyka a następnie zabiegi ratownicze, w których pierwszeństwo mają metody mechaniczn</w:t>
      </w:r>
      <w:r w:rsidR="00843FA4">
        <w:rPr>
          <w:rFonts w:asciiTheme="minorHAnsi" w:hAnsiTheme="minorHAnsi"/>
          <w:color w:val="000000" w:themeColor="text1"/>
          <w:sz w:val="22"/>
          <w:szCs w:val="22"/>
        </w:rPr>
        <w:t>e i biologiczne</w:t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. Natomiast zabiegi chemiczne są tzw. ostatecznością, stosowaną po wyczerpaniu innych metod i w przypadkach zagrażających trwałości upraw.</w:t>
      </w:r>
    </w:p>
    <w:p w14:paraId="6316DD13" w14:textId="77777777" w:rsidR="00DF794B" w:rsidRPr="0006615E" w:rsidRDefault="00DF794B" w:rsidP="0006615E">
      <w:pPr>
        <w:pStyle w:val="Default"/>
        <w:spacing w:after="14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W związku z wprowadzeniem tych przepisów, na zlecenie Dyrekcji Generalnej Lasów Państwowych zostały opracowane dwie metodyki dotyczące integrowanej ochrony drzewostanów iglastych </w:t>
      </w:r>
      <w:r w:rsidR="00017B78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i liściastych, dostępne na stronach internetowych:</w:t>
      </w:r>
    </w:p>
    <w:p w14:paraId="7F2C0421" w14:textId="77777777" w:rsidR="00DF794B" w:rsidRPr="0006615E" w:rsidRDefault="00DF794B" w:rsidP="0006615E">
      <w:pPr>
        <w:pStyle w:val="Default"/>
        <w:numPr>
          <w:ilvl w:val="0"/>
          <w:numId w:val="2"/>
        </w:numPr>
        <w:spacing w:after="14"/>
        <w:ind w:left="567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PLATFORMY SYGNALIZACJI AGROFAGÓW: https://www.agrofagi.com.pl/ → metodyki </w:t>
      </w:r>
      <w:r w:rsidR="00017B78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C56B12"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poradniki → metodyki integrowanej ochrony roślin → inne</w:t>
      </w:r>
    </w:p>
    <w:p w14:paraId="56A76B36" w14:textId="77777777" w:rsidR="00DF794B" w:rsidRPr="0006615E" w:rsidRDefault="00DF794B" w:rsidP="0006615E">
      <w:pPr>
        <w:pStyle w:val="Default"/>
        <w:numPr>
          <w:ilvl w:val="0"/>
          <w:numId w:val="2"/>
        </w:numPr>
        <w:spacing w:after="14"/>
        <w:ind w:left="567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INSTYTUTU BADAWCZEGO LEŚNICTWA www.ibles.pl → Doradztwo i usługi;</w:t>
      </w:r>
    </w:p>
    <w:p w14:paraId="6FC8CEF4" w14:textId="77777777" w:rsidR="00E41379" w:rsidRPr="00975CBB" w:rsidRDefault="00E41379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05B86CC4" w14:textId="77777777" w:rsidR="0027743D" w:rsidRPr="0027743D" w:rsidRDefault="0027743D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 xml:space="preserve">2. Podjąć porównawczą ocenę ORŚIS odpowiednio do skali, intensywności i ryzyka (z </w:t>
      </w:r>
      <w:proofErr w:type="spellStart"/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ang.SIR</w:t>
      </w:r>
      <w:proofErr w:type="spellEnd"/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017B78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w ramach zintegrowanej ochrony przed szkodnikami w celu identyfikacji: metody zwalczania szkodników, chwastów lub chorób o najniższym ryzyku, warunków jej stosowania oraz ogólnych środków łagodzenia i monitorowania w celu zminimalizowania ryzyka.</w:t>
      </w:r>
    </w:p>
    <w:p w14:paraId="0F315414" w14:textId="77777777" w:rsidR="0027743D" w:rsidRDefault="0027743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72733192" w14:textId="77777777" w:rsidR="00E41379" w:rsidRDefault="00F305A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Oceny 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>ryzyka s</w:t>
      </w:r>
      <w:r w:rsidR="00CD7785">
        <w:rPr>
          <w:rFonts w:asciiTheme="minorHAnsi" w:hAnsiTheme="minorHAnsi"/>
          <w:color w:val="000000" w:themeColor="text1"/>
          <w:sz w:val="22"/>
          <w:szCs w:val="22"/>
        </w:rPr>
        <w:t>tosowania wszelkich pestycydów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prowadzone są na bieżącą zgodnie z koncepcją INTEGROWANEJ OCHRONY LASU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>. W dalszej części opracowania ocenie podlega szeroki wachlarz zagrożeń jakie są związane z użyciem środka.</w:t>
      </w:r>
    </w:p>
    <w:p w14:paraId="4841919E" w14:textId="77777777" w:rsidR="0027743D" w:rsidRPr="00975CBB" w:rsidRDefault="0027743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167C43AD" w14:textId="77777777" w:rsidR="00E41379" w:rsidRDefault="0027743D" w:rsidP="0027743D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3.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Uwzględnić w swojej ocenie ORŚIS minimalny wykaz rodzajów zagrożeń, elementów i zmiennych ekspozycji opisanych w Załączniku 2.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14:paraId="383CFF31" w14:textId="77777777" w:rsidR="00070E92" w:rsidRDefault="00070E92" w:rsidP="0027743D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1716CF3F" w14:textId="77777777" w:rsidR="00070E92" w:rsidRPr="00070E92" w:rsidRDefault="00070E92" w:rsidP="0027743D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color w:val="000000" w:themeColor="text1"/>
          <w:sz w:val="22"/>
          <w:szCs w:val="22"/>
        </w:rPr>
        <w:t>W dalszej części opracowania</w:t>
      </w:r>
    </w:p>
    <w:p w14:paraId="6119728F" w14:textId="77777777" w:rsidR="00070E92" w:rsidRDefault="00070E92" w:rsidP="0027743D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84CCD83" w14:textId="77777777" w:rsidR="0027743D" w:rsidRPr="0027743D" w:rsidRDefault="0027743D" w:rsidP="0027743D">
      <w:pPr>
        <w:rPr>
          <w:rFonts w:cs="Arial"/>
          <w:b/>
          <w:color w:val="000000" w:themeColor="text1"/>
        </w:rPr>
      </w:pPr>
      <w:r w:rsidRPr="0027743D">
        <w:rPr>
          <w:rFonts w:cs="Arial"/>
          <w:b/>
          <w:color w:val="000000" w:themeColor="text1"/>
        </w:rPr>
        <w:t>4. Wybrać opcję, która wykazuje najmniej szkód społecznych i środowiskowych, większą skuteczność i równe lub większe korzyści społeczne i środowiskowe.</w:t>
      </w:r>
    </w:p>
    <w:p w14:paraId="2574F435" w14:textId="77777777" w:rsidR="00070E92" w:rsidRDefault="009324D1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Biorąc pod uwagę aspekty społeczne, ekologiczne i ekonomiczne stosowanie preparatu opartego na </w:t>
      </w:r>
      <w:proofErr w:type="spellStart"/>
      <w:r w:rsidRPr="009324D1">
        <w:rPr>
          <w:rFonts w:asciiTheme="minorHAnsi" w:hAnsiTheme="minorHAnsi"/>
          <w:color w:val="000000" w:themeColor="text1"/>
          <w:sz w:val="22"/>
          <w:szCs w:val="22"/>
        </w:rPr>
        <w:t>tiofanacie</w:t>
      </w:r>
      <w:proofErr w:type="spellEnd"/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 metylowym jest obecnie jednym z najkorzystniejszych sposobów do zwalczania chorób grzybowych tj. zgorzel siewek, szara pleśń, rdze, plamistość liści, </w:t>
      </w:r>
      <w:proofErr w:type="spellStart"/>
      <w:r w:rsidRPr="009324D1">
        <w:rPr>
          <w:rFonts w:asciiTheme="minorHAnsi" w:hAnsiTheme="minorHAnsi"/>
          <w:color w:val="000000" w:themeColor="text1"/>
          <w:sz w:val="22"/>
          <w:szCs w:val="22"/>
        </w:rPr>
        <w:t>werticilioza</w:t>
      </w:r>
      <w:proofErr w:type="spellEnd"/>
      <w:r w:rsidRPr="009324D1">
        <w:rPr>
          <w:rFonts w:asciiTheme="minorHAnsi" w:hAnsiTheme="minorHAnsi"/>
          <w:color w:val="000000" w:themeColor="text1"/>
          <w:sz w:val="22"/>
          <w:szCs w:val="22"/>
        </w:rPr>
        <w:t>, wiosenna osutka sosny, wierzchołkowe zamiera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nie pędów, zgnilizna korzeniowa </w:t>
      </w:r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atakujących siewki drzew leśnych </w:t>
      </w:r>
      <w:r w:rsidR="002B6972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w </w:t>
      </w:r>
      <w:r w:rsidR="00B82CBC" w:rsidRPr="00B82CBC">
        <w:rPr>
          <w:rFonts w:asciiTheme="minorHAnsi" w:hAnsiTheme="minorHAnsi"/>
          <w:bCs/>
          <w:color w:val="000000" w:themeColor="text1"/>
          <w:sz w:val="22"/>
          <w:szCs w:val="22"/>
        </w:rPr>
        <w:t>odnowieniach, zalesieniach oraz na plantacjach nasiennych drzew leśnych.</w:t>
      </w:r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 W związku </w:t>
      </w:r>
      <w:r w:rsidR="002B6972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z koniecznością wielokrotnego zwalczania i zmianowania substancji czynnych </w:t>
      </w:r>
      <w:proofErr w:type="spellStart"/>
      <w:r w:rsidRPr="009324D1">
        <w:rPr>
          <w:rFonts w:asciiTheme="minorHAnsi" w:hAnsiTheme="minorHAnsi"/>
          <w:color w:val="000000" w:themeColor="text1"/>
          <w:sz w:val="22"/>
          <w:szCs w:val="22"/>
        </w:rPr>
        <w:t>tiofanat</w:t>
      </w:r>
      <w:proofErr w:type="spellEnd"/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 metylowy jest jedną z kilku dopuszczonych prawnie substancji (inne </w:t>
      </w:r>
      <w:proofErr w:type="spellStart"/>
      <w:r w:rsidRPr="009324D1">
        <w:rPr>
          <w:rFonts w:asciiTheme="minorHAnsi" w:hAnsiTheme="minorHAnsi"/>
          <w:color w:val="000000" w:themeColor="text1"/>
          <w:sz w:val="22"/>
          <w:szCs w:val="22"/>
        </w:rPr>
        <w:t>ś.o.r</w:t>
      </w:r>
      <w:proofErr w:type="spellEnd"/>
      <w:r w:rsidRPr="009324D1">
        <w:rPr>
          <w:rFonts w:asciiTheme="minorHAnsi" w:hAnsiTheme="minorHAnsi"/>
          <w:color w:val="000000" w:themeColor="text1"/>
          <w:sz w:val="22"/>
          <w:szCs w:val="22"/>
        </w:rPr>
        <w:t>) do zwalczania i profilaktyki chorób grzybowych, których zastosowanie podlega oddzielnym ORŚIS.</w:t>
      </w:r>
      <w:r w:rsidR="003961F0" w:rsidRPr="003961F0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003961F0" w:rsidRPr="003961F0">
        <w:rPr>
          <w:rFonts w:asciiTheme="minorHAnsi" w:hAnsiTheme="minorHAnsi"/>
          <w:color w:val="000000" w:themeColor="text1"/>
          <w:sz w:val="22"/>
          <w:szCs w:val="22"/>
        </w:rPr>
        <w:t xml:space="preserve">Odstąpienie od zastosowania tej </w:t>
      </w:r>
      <w:r w:rsidR="003961F0" w:rsidRPr="003961F0">
        <w:rPr>
          <w:rFonts w:asciiTheme="minorHAnsi" w:hAnsiTheme="minorHAnsi"/>
          <w:color w:val="000000" w:themeColor="text1"/>
          <w:sz w:val="22"/>
          <w:szCs w:val="22"/>
        </w:rPr>
        <w:lastRenderedPageBreak/>
        <w:t>najkorzystniejszej metody zwalczania chorób grzybowych niesie ryzyko wystąpienia strat przyrostowych i zjawiska zamierania drzew</w:t>
      </w:r>
      <w:r w:rsidR="003961F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2C95206" w14:textId="77777777" w:rsidR="009324D1" w:rsidRDefault="009324D1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05C6F91" w14:textId="77777777" w:rsidR="007029E2" w:rsidRP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5. Zachować zgodność z obowiązującymi międzynarodowymi i krajowymi wskaźnikami i progami dotyczącymi stosowania WNP.</w:t>
      </w:r>
    </w:p>
    <w:p w14:paraId="05310125" w14:textId="77777777" w:rsidR="00070E92" w:rsidRDefault="00070E92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44059865" w14:textId="77777777" w:rsidR="007B568B" w:rsidRPr="00975CBB" w:rsidRDefault="004B64E7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Zastosowanie środka </w:t>
      </w:r>
      <w:proofErr w:type="spellStart"/>
      <w:r w:rsidR="00974A7A">
        <w:rPr>
          <w:rFonts w:asciiTheme="minorHAnsi" w:hAnsiTheme="minorHAnsi"/>
          <w:color w:val="000000" w:themeColor="text1"/>
          <w:sz w:val="22"/>
          <w:szCs w:val="22"/>
        </w:rPr>
        <w:t>Tiofan</w:t>
      </w:r>
      <w:proofErr w:type="spellEnd"/>
      <w:r w:rsidR="00974A7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500 SC</w:t>
      </w:r>
      <w:r w:rsidR="00024B98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jest zgodne z obowiązującymi międzynarodowymi i krajowymi wskaźnikami i progami dotyczącymi stosowania WNP.</w:t>
      </w:r>
      <w:r w:rsidR="007B568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5B43E20" w14:textId="77777777" w:rsidR="003B5DE6" w:rsidRPr="00975CBB" w:rsidRDefault="003B5DE6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0EC00687" w14:textId="77777777" w:rsidR="009155F3" w:rsidRPr="00975CBB" w:rsidRDefault="00024B98" w:rsidP="009155F3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Aktualne prawodawstwo dotyczące obrotu i stosowania środków ochrony roślin 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dostępne jest </w:t>
      </w:r>
      <w:r w:rsidR="002B6972">
        <w:rPr>
          <w:rFonts w:asciiTheme="minorHAnsi" w:hAnsiTheme="minorHAnsi"/>
          <w:color w:val="000000" w:themeColor="text1"/>
          <w:sz w:val="22"/>
          <w:szCs w:val="22"/>
        </w:rPr>
        <w:br/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w broszurze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„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>Ś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rodki ochrony roślin oraz środki biobójcze do stosowania w leśnictwie”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wydawanej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co roku 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>prz</w:t>
      </w:r>
      <w:r w:rsidR="00214D40" w:rsidRPr="00975CBB">
        <w:rPr>
          <w:rFonts w:asciiTheme="minorHAnsi" w:hAnsiTheme="minorHAnsi"/>
          <w:color w:val="000000" w:themeColor="text1"/>
          <w:sz w:val="22"/>
          <w:szCs w:val="22"/>
        </w:rPr>
        <w:t>ez Instytut Badawczy Leśnictwa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i na bieżąco aktualizowanej o zmiany w przepisach </w:t>
      </w:r>
      <w:r w:rsidR="00017B78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i wytycznych. Broszura opiera się o akty prawa i wytyczne </w:t>
      </w:r>
      <w:proofErr w:type="spellStart"/>
      <w:r w:rsidRPr="00975CBB">
        <w:rPr>
          <w:rFonts w:asciiTheme="minorHAnsi" w:hAnsiTheme="minorHAnsi"/>
          <w:color w:val="000000" w:themeColor="text1"/>
          <w:sz w:val="22"/>
          <w:szCs w:val="22"/>
        </w:rPr>
        <w:t>tj</w:t>
      </w:r>
      <w:proofErr w:type="spellEnd"/>
      <w:r w:rsidRPr="00975CBB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77C725A8" w14:textId="77777777" w:rsidR="003B5DE6" w:rsidRPr="00975CBB" w:rsidRDefault="00466B5D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1.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Dyrektywa 2009/128/WE </w:t>
      </w:r>
    </w:p>
    <w:p w14:paraId="2DFC9C36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2. Rozporządzenie nr 1107/2009 </w:t>
      </w:r>
    </w:p>
    <w:p w14:paraId="4F0198F6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3. Ustawa o środkach ochrony roślin z 8 marca 2013 r. </w:t>
      </w:r>
    </w:p>
    <w:p w14:paraId="0B55EAF0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4. Integrowana ochrona lasu </w:t>
      </w:r>
    </w:p>
    <w:p w14:paraId="7A22BD4B" w14:textId="77777777" w:rsidR="003B5DE6" w:rsidRPr="00975CBB" w:rsidRDefault="009155F3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. Wykaz krajowych dokumentów obowiązujących użytkowników profesjonalnych stosujących </w:t>
      </w:r>
      <w:proofErr w:type="spellStart"/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ś.o.r</w:t>
      </w:r>
      <w:proofErr w:type="spellEnd"/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1C4EAB9" w14:textId="77777777" w:rsidR="00466B5D" w:rsidRPr="00975CBB" w:rsidRDefault="009155F3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6</w:t>
      </w:r>
      <w:r w:rsidR="00466B5D" w:rsidRPr="00975CBB">
        <w:rPr>
          <w:rFonts w:asciiTheme="minorHAnsi" w:hAnsiTheme="minorHAnsi"/>
          <w:color w:val="000000" w:themeColor="text1"/>
          <w:sz w:val="22"/>
          <w:szCs w:val="22"/>
        </w:rPr>
        <w:t>. Pełne teksty zarządzeń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dyrektora generalnego Lasów Pa</w:t>
      </w:r>
      <w:r w:rsidR="00214D40" w:rsidRPr="00975CBB">
        <w:rPr>
          <w:rFonts w:asciiTheme="minorHAnsi" w:hAnsiTheme="minorHAnsi"/>
          <w:color w:val="000000" w:themeColor="text1"/>
          <w:sz w:val="22"/>
          <w:szCs w:val="22"/>
        </w:rPr>
        <w:t>ń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stwowy</w:t>
      </w:r>
      <w:r w:rsidR="00466B5D" w:rsidRPr="00975CBB">
        <w:rPr>
          <w:rFonts w:asciiTheme="minorHAnsi" w:hAnsiTheme="minorHAnsi"/>
          <w:color w:val="000000" w:themeColor="text1"/>
          <w:sz w:val="22"/>
          <w:szCs w:val="22"/>
        </w:rPr>
        <w:t>ch w sprawie stosowania środków ochrony roślin w Lasach Pań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stwowych</w:t>
      </w:r>
    </w:p>
    <w:p w14:paraId="1A6D7415" w14:textId="77777777" w:rsidR="00466B5D" w:rsidRPr="00975CBB" w:rsidRDefault="00466B5D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740AF7EF" w14:textId="77777777" w:rsidR="00974A7A" w:rsidRPr="00974A7A" w:rsidRDefault="00750B6E" w:rsidP="00974A7A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Środek p</w:t>
      </w:r>
      <w:r w:rsidR="00975CB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osiada </w:t>
      </w:r>
      <w:r w:rsidR="00974A7A" w:rsidRPr="00974A7A">
        <w:rPr>
          <w:rFonts w:asciiTheme="minorHAnsi" w:hAnsiTheme="minorHAnsi"/>
          <w:color w:val="000000" w:themeColor="text1"/>
          <w:sz w:val="22"/>
          <w:szCs w:val="22"/>
        </w:rPr>
        <w:t xml:space="preserve">Pozwolenie </w:t>
      </w:r>
      <w:proofErr w:type="spellStart"/>
      <w:r w:rsidR="00974A7A" w:rsidRPr="00974A7A">
        <w:rPr>
          <w:rFonts w:asciiTheme="minorHAnsi" w:hAnsiTheme="minorHAnsi"/>
          <w:color w:val="000000" w:themeColor="text1"/>
          <w:sz w:val="22"/>
          <w:szCs w:val="22"/>
        </w:rPr>
        <w:t>MRiRW</w:t>
      </w:r>
      <w:proofErr w:type="spellEnd"/>
      <w:r w:rsidR="00974A7A" w:rsidRPr="00974A7A">
        <w:rPr>
          <w:rFonts w:asciiTheme="minorHAnsi" w:hAnsiTheme="minorHAnsi"/>
          <w:color w:val="000000" w:themeColor="text1"/>
          <w:sz w:val="22"/>
          <w:szCs w:val="22"/>
        </w:rPr>
        <w:t xml:space="preserve"> nr R -28/2017 </w:t>
      </w:r>
      <w:proofErr w:type="spellStart"/>
      <w:r w:rsidR="00974A7A" w:rsidRPr="00974A7A">
        <w:rPr>
          <w:rFonts w:asciiTheme="minorHAnsi" w:hAnsiTheme="minorHAnsi"/>
          <w:color w:val="000000" w:themeColor="text1"/>
          <w:sz w:val="22"/>
          <w:szCs w:val="22"/>
        </w:rPr>
        <w:t>h.r</w:t>
      </w:r>
      <w:proofErr w:type="spellEnd"/>
      <w:r w:rsidR="00974A7A" w:rsidRPr="00974A7A">
        <w:rPr>
          <w:rFonts w:asciiTheme="minorHAnsi" w:hAnsiTheme="minorHAnsi"/>
          <w:color w:val="000000" w:themeColor="text1"/>
          <w:sz w:val="22"/>
          <w:szCs w:val="22"/>
        </w:rPr>
        <w:t>. z dnia 30.05.2017 r.,</w:t>
      </w:r>
    </w:p>
    <w:p w14:paraId="63D66F67" w14:textId="77777777" w:rsidR="009401F5" w:rsidRDefault="00974A7A" w:rsidP="00974A7A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4A7A">
        <w:rPr>
          <w:rFonts w:asciiTheme="minorHAnsi" w:hAnsiTheme="minorHAnsi"/>
          <w:color w:val="000000" w:themeColor="text1"/>
          <w:sz w:val="22"/>
          <w:szCs w:val="22"/>
        </w:rPr>
        <w:t xml:space="preserve">zmienione decyzją </w:t>
      </w:r>
      <w:proofErr w:type="spellStart"/>
      <w:r w:rsidRPr="00974A7A">
        <w:rPr>
          <w:rFonts w:asciiTheme="minorHAnsi" w:hAnsiTheme="minorHAnsi"/>
          <w:color w:val="000000" w:themeColor="text1"/>
          <w:sz w:val="22"/>
          <w:szCs w:val="22"/>
        </w:rPr>
        <w:t>MRiRW</w:t>
      </w:r>
      <w:proofErr w:type="spellEnd"/>
      <w:r w:rsidRPr="00974A7A">
        <w:rPr>
          <w:rFonts w:asciiTheme="minorHAnsi" w:hAnsiTheme="minorHAnsi"/>
          <w:color w:val="000000" w:themeColor="text1"/>
          <w:sz w:val="22"/>
          <w:szCs w:val="22"/>
        </w:rPr>
        <w:t xml:space="preserve"> nr R-93/2018 d z dnia 31.01.2018 r.</w:t>
      </w:r>
      <w:r w:rsidR="009401F5" w:rsidRPr="009401F5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347CABB1" w14:textId="77777777" w:rsidR="009401F5" w:rsidRDefault="009401F5" w:rsidP="009401F5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2DD38702" w14:textId="77777777" w:rsidR="00750B6E" w:rsidRPr="00070E92" w:rsidRDefault="00070E92" w:rsidP="009401F5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6. Przed zastosowaniem pestycydu syntetycznego, Organizacja ma obowiązek uwzględnić wyniki swojej oceny ORŚIS w planach operacyjnych dla danego obszaru, zidentyfikować zagrożenia specyficzne dla danego obszaru i dostosować ogólne środki łagodzące i monitorujące uprzednio określone w ORŚIS w ramach zintegrowanej ochrony przed szkodnikami (punkt 4.12.2).</w:t>
      </w:r>
    </w:p>
    <w:p w14:paraId="26EF2C2C" w14:textId="77777777" w:rsidR="007B568B" w:rsidRPr="00975CBB" w:rsidRDefault="007B568B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407E62A9" w14:textId="77777777" w:rsidR="00975CBB" w:rsidRPr="00975CBB" w:rsidRDefault="00975CBB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RDLP w Białymstoku a w tym podlegające jej nadleśnictwa w planach operacyjnych </w:t>
      </w:r>
      <w:r w:rsidR="00690476">
        <w:rPr>
          <w:rFonts w:asciiTheme="minorHAnsi" w:hAnsiTheme="minorHAnsi"/>
          <w:color w:val="000000" w:themeColor="text1"/>
          <w:sz w:val="22"/>
          <w:szCs w:val="22"/>
        </w:rPr>
        <w:t xml:space="preserve">(planach gospodarczych)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uwzględnia ORŚIŚ</w:t>
      </w:r>
      <w:r w:rsidR="004F4070">
        <w:rPr>
          <w:rFonts w:asciiTheme="minorHAnsi" w:hAnsiTheme="minorHAnsi"/>
          <w:color w:val="000000" w:themeColor="text1"/>
          <w:sz w:val="22"/>
          <w:szCs w:val="22"/>
        </w:rPr>
        <w:t xml:space="preserve"> opracowaną dla środka </w:t>
      </w:r>
      <w:proofErr w:type="spellStart"/>
      <w:r w:rsidR="00974A7A">
        <w:rPr>
          <w:rFonts w:asciiTheme="minorHAnsi" w:hAnsiTheme="minorHAnsi"/>
          <w:color w:val="000000" w:themeColor="text1"/>
          <w:sz w:val="22"/>
          <w:szCs w:val="22"/>
        </w:rPr>
        <w:t>Tiofan</w:t>
      </w:r>
      <w:proofErr w:type="spellEnd"/>
      <w:r w:rsidR="004F4070">
        <w:rPr>
          <w:rFonts w:asciiTheme="minorHAnsi" w:hAnsiTheme="minorHAnsi"/>
          <w:color w:val="000000" w:themeColor="text1"/>
          <w:sz w:val="22"/>
          <w:szCs w:val="22"/>
        </w:rPr>
        <w:t xml:space="preserve"> 500 SC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, a sam środek stosuje zgodnie z jego etykietą.</w:t>
      </w:r>
    </w:p>
    <w:p w14:paraId="4B9BBC98" w14:textId="77777777" w:rsid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09EECD6" w14:textId="77777777" w:rsidR="007B568B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7. Oceny ORŚIS oraz ich włączenie do planów operacyjnych udostępnić na życzenie stronom zaangażowanym.</w:t>
      </w:r>
    </w:p>
    <w:p w14:paraId="5BF08A82" w14:textId="77777777" w:rsid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5FE82FB" w14:textId="77777777" w:rsidR="003B5DE6" w:rsidRPr="00975CBB" w:rsidRDefault="00975CBB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Ocena</w:t>
      </w:r>
      <w:r w:rsidR="007B568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ORŚIS oraz ich włączenie do planów operacyjnych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są z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godnie z ustawą z dnia 6 września 2001 r. o dostępie do informacji publicznej (z póz. zm.) oraz ustawą dnia 3 października 2008 r. </w:t>
      </w:r>
      <w:r w:rsidR="00017B78">
        <w:rPr>
          <w:rFonts w:asciiTheme="minorHAnsi" w:hAnsiTheme="minorHAnsi"/>
          <w:color w:val="000000" w:themeColor="text1"/>
          <w:sz w:val="22"/>
          <w:szCs w:val="22"/>
        </w:rPr>
        <w:br/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o udostępnianiu informacji o środowisku i jego ochronie, udziale społeczeństwa w ochronie środowiska oraz o ocenach oddziaływania na środowi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sko (z póz. zm.),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są udostępniane na życzenie stronom zaangażowanym.</w:t>
      </w:r>
    </w:p>
    <w:p w14:paraId="7FF3A448" w14:textId="77777777" w:rsidR="007B568B" w:rsidRDefault="007B568B" w:rsidP="007B568B">
      <w:pPr>
        <w:pStyle w:val="Default"/>
        <w:rPr>
          <w:rFonts w:asciiTheme="minorHAnsi" w:hAnsiTheme="minorHAnsi"/>
        </w:rPr>
      </w:pPr>
    </w:p>
    <w:p w14:paraId="40F25AD6" w14:textId="77777777" w:rsidR="00070E92" w:rsidRDefault="00070E92" w:rsidP="007B568B">
      <w:pPr>
        <w:pStyle w:val="Default"/>
        <w:rPr>
          <w:rFonts w:asciiTheme="minorHAnsi" w:hAnsiTheme="minorHAnsi"/>
          <w:b/>
        </w:rPr>
      </w:pPr>
      <w:r w:rsidRPr="00070E92">
        <w:rPr>
          <w:rFonts w:asciiTheme="minorHAnsi" w:hAnsiTheme="minorHAnsi"/>
          <w:b/>
        </w:rPr>
        <w:t>8. Korzystać z internetowej bazy danych FSC w celu wymiany informacji na temat metod alternatywnych i procedur monitorowania.</w:t>
      </w:r>
    </w:p>
    <w:p w14:paraId="2C93A72C" w14:textId="77777777" w:rsidR="00070E92" w:rsidRPr="00070E92" w:rsidRDefault="00070E92" w:rsidP="007B568B">
      <w:pPr>
        <w:pStyle w:val="Default"/>
        <w:rPr>
          <w:rFonts w:asciiTheme="minorHAnsi" w:hAnsiTheme="minorHAnsi"/>
          <w:b/>
        </w:rPr>
      </w:pPr>
    </w:p>
    <w:p w14:paraId="37811E3F" w14:textId="77777777" w:rsidR="00DC6CFA" w:rsidRPr="00BB5970" w:rsidRDefault="00DC6CFA" w:rsidP="00DC6CFA">
      <w:pPr>
        <w:pStyle w:val="Default"/>
        <w:rPr>
          <w:rFonts w:ascii="Calibri" w:hAnsi="Calibri"/>
          <w:color w:val="000000" w:themeColor="text1"/>
          <w:sz w:val="22"/>
          <w:szCs w:val="22"/>
        </w:rPr>
      </w:pPr>
      <w:r w:rsidRPr="00BB5970">
        <w:rPr>
          <w:rFonts w:ascii="Calibri" w:hAnsi="Calibri"/>
          <w:color w:val="000000" w:themeColor="text1"/>
          <w:sz w:val="22"/>
          <w:szCs w:val="22"/>
        </w:rPr>
        <w:t xml:space="preserve">Baza danych wykorzystywana w celu wymiany informacji na temat metod alternatywnych i procedur monitorowania : </w:t>
      </w:r>
      <w:hyperlink r:id="rId9" w:history="1">
        <w:r w:rsidRPr="00BB5970">
          <w:rPr>
            <w:rStyle w:val="Hipercze"/>
            <w:rFonts w:ascii="Calibri" w:hAnsi="Calibri"/>
            <w:color w:val="000000" w:themeColor="text1"/>
            <w:sz w:val="22"/>
            <w:szCs w:val="22"/>
          </w:rPr>
          <w:t>http://pesticides.fsc.org/strategy-database</w:t>
        </w:r>
      </w:hyperlink>
      <w:r w:rsidRPr="00BB5970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F7239DD" w14:textId="77777777" w:rsidR="00070E92" w:rsidRDefault="00070E92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C22D178" w14:textId="77777777" w:rsidR="00017B78" w:rsidRDefault="00070E92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070E92">
        <w:rPr>
          <w:rFonts w:asciiTheme="minorHAnsi" w:hAnsiTheme="minorHAnsi"/>
          <w:b/>
          <w:sz w:val="22"/>
          <w:szCs w:val="22"/>
        </w:rPr>
        <w:t xml:space="preserve">9. Wprowadzić programy, zgodne z SIR, w celu badania, identyfikacji i testowania alternatyw, które, jako mniej niebezpieczne, miałyby zastąpić WNP objęte ścisłymi ograniczeniami przez FSC </w:t>
      </w:r>
    </w:p>
    <w:p w14:paraId="2ECA9793" w14:textId="77777777" w:rsidR="007B568B" w:rsidRPr="00070E92" w:rsidRDefault="00070E92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070E92">
        <w:rPr>
          <w:rFonts w:asciiTheme="minorHAnsi" w:hAnsiTheme="minorHAnsi"/>
          <w:b/>
          <w:sz w:val="22"/>
          <w:szCs w:val="22"/>
        </w:rPr>
        <w:t>i WNP objęte ograniczeniami przez FSC. Programy powinny zawierać jasne działania, ramy czasowe, cele i przydzielone zasoby.</w:t>
      </w:r>
    </w:p>
    <w:p w14:paraId="2D25B7F9" w14:textId="77777777" w:rsidR="00CA309A" w:rsidRDefault="00CA309A" w:rsidP="00CA309A">
      <w:pPr>
        <w:spacing w:after="0" w:line="240" w:lineRule="auto"/>
        <w:rPr>
          <w:rFonts w:cs="Arial"/>
          <w:color w:val="000000" w:themeColor="text1"/>
        </w:rPr>
      </w:pPr>
    </w:p>
    <w:p w14:paraId="1B0F8F92" w14:textId="77777777" w:rsidR="00CE2120" w:rsidRPr="00CE2120" w:rsidRDefault="00CE2120" w:rsidP="00CE2120">
      <w:pPr>
        <w:rPr>
          <w:rFonts w:cs="Arial"/>
          <w:color w:val="000000" w:themeColor="text1"/>
        </w:rPr>
      </w:pPr>
      <w:r w:rsidRPr="00CE2120">
        <w:rPr>
          <w:rFonts w:cs="Arial"/>
          <w:color w:val="000000" w:themeColor="text1"/>
        </w:rPr>
        <w:t xml:space="preserve">W zakresie stosowania </w:t>
      </w:r>
      <w:r>
        <w:rPr>
          <w:rFonts w:cs="Arial"/>
          <w:color w:val="000000" w:themeColor="text1"/>
        </w:rPr>
        <w:t xml:space="preserve">substancji </w:t>
      </w:r>
      <w:proofErr w:type="spellStart"/>
      <w:r>
        <w:rPr>
          <w:rFonts w:cs="Arial"/>
          <w:color w:val="000000" w:themeColor="text1"/>
        </w:rPr>
        <w:t>tiofanat</w:t>
      </w:r>
      <w:proofErr w:type="spellEnd"/>
      <w:r>
        <w:rPr>
          <w:rFonts w:cs="Arial"/>
          <w:color w:val="000000" w:themeColor="text1"/>
        </w:rPr>
        <w:t xml:space="preserve"> metylowy</w:t>
      </w:r>
      <w:r w:rsidRPr="00CE2120">
        <w:rPr>
          <w:rFonts w:cs="Arial"/>
          <w:color w:val="000000" w:themeColor="text1"/>
        </w:rPr>
        <w:t xml:space="preserve"> w postaci </w:t>
      </w:r>
      <w:r>
        <w:rPr>
          <w:rFonts w:cs="Arial"/>
          <w:color w:val="000000" w:themeColor="text1"/>
        </w:rPr>
        <w:t xml:space="preserve">preparatu </w:t>
      </w:r>
      <w:proofErr w:type="spellStart"/>
      <w:r w:rsidR="00CA309A">
        <w:rPr>
          <w:rFonts w:cs="Arial"/>
          <w:color w:val="000000" w:themeColor="text1"/>
        </w:rPr>
        <w:t>Tiofan</w:t>
      </w:r>
      <w:proofErr w:type="spellEnd"/>
      <w:r>
        <w:rPr>
          <w:rFonts w:cs="Arial"/>
          <w:color w:val="000000" w:themeColor="text1"/>
        </w:rPr>
        <w:t xml:space="preserve"> 500 SC</w:t>
      </w:r>
      <w:r w:rsidRPr="00CE2120">
        <w:rPr>
          <w:rFonts w:cs="Arial"/>
          <w:color w:val="000000" w:themeColor="text1"/>
        </w:rPr>
        <w:t xml:space="preserve"> w celu ochrony </w:t>
      </w:r>
      <w:r>
        <w:rPr>
          <w:rFonts w:cs="Arial"/>
          <w:color w:val="000000" w:themeColor="text1"/>
        </w:rPr>
        <w:t xml:space="preserve">siewek i sadzonek gatunków leśnych drzew liściastych i iglastych przed chorobami grzybowymi tj. </w:t>
      </w:r>
      <w:r w:rsidRPr="00CE2120">
        <w:rPr>
          <w:rFonts w:cs="Arial"/>
          <w:color w:val="000000" w:themeColor="text1"/>
        </w:rPr>
        <w:t xml:space="preserve">zgorzel siewek, szara pleśń, rdze, plamistość liści, </w:t>
      </w:r>
      <w:proofErr w:type="spellStart"/>
      <w:r w:rsidRPr="00CE2120">
        <w:rPr>
          <w:rFonts w:cs="Arial"/>
          <w:color w:val="000000" w:themeColor="text1"/>
        </w:rPr>
        <w:t>werticilioza</w:t>
      </w:r>
      <w:proofErr w:type="spellEnd"/>
      <w:r w:rsidRPr="00CE2120">
        <w:rPr>
          <w:rFonts w:cs="Arial"/>
          <w:color w:val="000000" w:themeColor="text1"/>
        </w:rPr>
        <w:t xml:space="preserve">, wiosenna osutka sosny, wierzchołkowe zamieranie pędów, zgnilizna korzeniowa prowadzone są oceny skuteczności połączone z poszukiwaniem innych dostępnych na rynku środków mogących znaleźć zastosowanie </w:t>
      </w:r>
      <w:r w:rsidR="00017B78">
        <w:rPr>
          <w:rFonts w:cs="Arial"/>
          <w:color w:val="000000" w:themeColor="text1"/>
        </w:rPr>
        <w:br/>
      </w:r>
      <w:r w:rsidRPr="00CE2120">
        <w:rPr>
          <w:rFonts w:cs="Arial"/>
          <w:color w:val="000000" w:themeColor="text1"/>
        </w:rPr>
        <w:t>w leśnictwie.</w:t>
      </w:r>
    </w:p>
    <w:p w14:paraId="3F038BC9" w14:textId="77777777" w:rsidR="00070E92" w:rsidRPr="00070E92" w:rsidRDefault="00070E92" w:rsidP="009025D5">
      <w:pPr>
        <w:rPr>
          <w:b/>
          <w:color w:val="000000" w:themeColor="text1"/>
        </w:rPr>
      </w:pPr>
      <w:r w:rsidRPr="00070E92">
        <w:rPr>
          <w:b/>
          <w:color w:val="000000" w:themeColor="text1"/>
        </w:rPr>
        <w:t>10. Współpracować z interesariuszami zgodnie z wymogami obowiązującego Krajowego Standardu Gospodarki Leśnej lub Tymczasowego Krajowego Standardu podczas przeprowadzania oceny ORŚIS</w:t>
      </w:r>
    </w:p>
    <w:p w14:paraId="06167D42" w14:textId="77777777" w:rsidR="00595EA4" w:rsidRPr="009025D5" w:rsidRDefault="009025D5" w:rsidP="00EC4079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025D5">
        <w:rPr>
          <w:rFonts w:asciiTheme="minorHAnsi" w:hAnsiTheme="minorHAnsi"/>
          <w:color w:val="000000" w:themeColor="text1"/>
          <w:sz w:val="22"/>
          <w:szCs w:val="22"/>
        </w:rPr>
        <w:t>Krajowy standard gospodarki leśnej</w:t>
      </w:r>
      <w:r w:rsidR="00EC4079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 FSC® </w:t>
      </w:r>
      <w:r w:rsidRPr="009025D5">
        <w:rPr>
          <w:rFonts w:asciiTheme="minorHAnsi" w:hAnsiTheme="minorHAnsi"/>
          <w:color w:val="000000" w:themeColor="text1"/>
          <w:sz w:val="22"/>
          <w:szCs w:val="22"/>
        </w:rPr>
        <w:t>w Polsce</w:t>
      </w:r>
      <w:r w:rsidR="00EC4079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 FSC-STD-POL-01-01-2013 PL </w:t>
      </w:r>
      <w:r w:rsidR="00595EA4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określa stosowania pestycydów w kryterium 6.6 natomiast w ZASADZIE 4. </w:t>
      </w:r>
      <w:r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Współpraca ze społeczeństwem i prawa pracowników </w:t>
      </w:r>
      <w:r w:rsidR="00595EA4" w:rsidRPr="009025D5">
        <w:rPr>
          <w:rFonts w:asciiTheme="minorHAnsi" w:hAnsiTheme="minorHAnsi"/>
          <w:color w:val="000000" w:themeColor="text1"/>
          <w:sz w:val="22"/>
          <w:szCs w:val="22"/>
        </w:rPr>
        <w:t>określa relacje z int</w:t>
      </w:r>
      <w:r w:rsidR="00070E92">
        <w:rPr>
          <w:rFonts w:asciiTheme="minorHAnsi" w:hAnsiTheme="minorHAnsi"/>
          <w:color w:val="000000" w:themeColor="text1"/>
          <w:sz w:val="22"/>
          <w:szCs w:val="22"/>
        </w:rPr>
        <w:t>eresariuszami a w szczególności:</w:t>
      </w:r>
    </w:p>
    <w:p w14:paraId="27CFFB49" w14:textId="77777777" w:rsidR="00595EA4" w:rsidRPr="00070E92" w:rsidRDefault="00595EA4" w:rsidP="00070E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 w:themeColor="text1"/>
        </w:rPr>
      </w:pPr>
      <w:r w:rsidRPr="00070E92">
        <w:rPr>
          <w:rFonts w:cs="Arial"/>
          <w:color w:val="000000" w:themeColor="text1"/>
        </w:rPr>
        <w:t xml:space="preserve">4.2.1. Prace leśne wykonywane są przez podmioty gwarantujące i stosujące wymagany przepisami prawa poziom usług co do bezpieczeństwa, jakości, troski o środowisko i techniki prac. </w:t>
      </w:r>
    </w:p>
    <w:p w14:paraId="70E7DCBC" w14:textId="77777777" w:rsidR="00EC4079" w:rsidRPr="00070E92" w:rsidRDefault="00595EA4" w:rsidP="00070E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 w:themeColor="text1"/>
        </w:rPr>
      </w:pPr>
      <w:r w:rsidRPr="00070E92">
        <w:rPr>
          <w:rFonts w:cs="Arial"/>
          <w:color w:val="000000" w:themeColor="text1"/>
        </w:rPr>
        <w:t xml:space="preserve">4.2.2. W terenie wykorzystywany jest sprzęt gwarantujący bezpieczeństwo i higienę pracy, </w:t>
      </w:r>
      <w:r w:rsidR="00017B78">
        <w:rPr>
          <w:rFonts w:cs="Arial"/>
          <w:color w:val="000000" w:themeColor="text1"/>
        </w:rPr>
        <w:br/>
      </w:r>
      <w:r w:rsidRPr="00070E92">
        <w:rPr>
          <w:rFonts w:cs="Arial"/>
          <w:color w:val="000000" w:themeColor="text1"/>
        </w:rPr>
        <w:t>w tym kaski ochronne, kontrastowe kamizelki, buty ochronne, spodnie ochronne. Wszyscy pracownicy mają dostęp do apteczki pierwszej pomocy. Każda osoba przebywająca na terenie, gdzie prowadzone jest pozyskanie drewna, wyposażona jest w kask ochronny i kontrastową kamizelkę.</w:t>
      </w:r>
    </w:p>
    <w:p w14:paraId="0A0C0180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09A23FE1" w14:textId="77777777" w:rsidR="00595EA4" w:rsidRPr="00070E92" w:rsidRDefault="007B568B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070E92">
        <w:rPr>
          <w:rFonts w:asciiTheme="minorHAnsi" w:hAnsiTheme="minorHAnsi"/>
          <w:b/>
          <w:sz w:val="22"/>
          <w:szCs w:val="22"/>
        </w:rPr>
        <w:t xml:space="preserve">11. Nie używać żadnych </w:t>
      </w:r>
      <w:r w:rsidRPr="00070E92">
        <w:rPr>
          <w:rFonts w:asciiTheme="minorHAnsi" w:hAnsiTheme="minorHAnsi"/>
          <w:b/>
          <w:bCs/>
          <w:sz w:val="22"/>
          <w:szCs w:val="22"/>
        </w:rPr>
        <w:t>WNP zabronionych przez FSC</w:t>
      </w:r>
      <w:r w:rsidRPr="00070E92">
        <w:rPr>
          <w:rFonts w:asciiTheme="minorHAnsi" w:hAnsiTheme="minorHAnsi"/>
          <w:b/>
          <w:sz w:val="22"/>
          <w:szCs w:val="22"/>
        </w:rPr>
        <w:t xml:space="preserve">, z wyjątkiem sytuacji nadzwyczajnych lub na polecenie rządu. </w:t>
      </w:r>
    </w:p>
    <w:p w14:paraId="30794CF1" w14:textId="77777777" w:rsidR="0027743D" w:rsidRDefault="0027743D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388987DA" w14:textId="77777777" w:rsidR="007B568B" w:rsidRPr="0027743D" w:rsidRDefault="00595EA4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color w:val="000000" w:themeColor="text1"/>
          <w:sz w:val="22"/>
          <w:szCs w:val="22"/>
        </w:rPr>
        <w:t xml:space="preserve">Nie dotyczy. Substancja aktywna będąca przedmiotem ORŚIS </w:t>
      </w:r>
      <w:r w:rsidR="00CE2120">
        <w:rPr>
          <w:rFonts w:asciiTheme="minorHAnsi" w:hAnsiTheme="minorHAnsi"/>
          <w:color w:val="000000" w:themeColor="text1"/>
          <w:sz w:val="22"/>
          <w:szCs w:val="22"/>
        </w:rPr>
        <w:t xml:space="preserve">znajduje się </w:t>
      </w:r>
      <w:r w:rsidR="00345007">
        <w:rPr>
          <w:rFonts w:asciiTheme="minorHAnsi" w:hAnsiTheme="minorHAnsi"/>
          <w:color w:val="000000" w:themeColor="text1"/>
          <w:sz w:val="22"/>
          <w:szCs w:val="22"/>
        </w:rPr>
        <w:t xml:space="preserve">na liście WNP Objętych </w:t>
      </w:r>
      <w:r w:rsidR="00CE2120">
        <w:rPr>
          <w:rFonts w:asciiTheme="minorHAnsi" w:hAnsiTheme="minorHAnsi"/>
          <w:color w:val="000000" w:themeColor="text1"/>
          <w:sz w:val="22"/>
          <w:szCs w:val="22"/>
        </w:rPr>
        <w:t>ograniczeniami przez FSC pod lp. 204.</w:t>
      </w:r>
    </w:p>
    <w:p w14:paraId="0F2D88EB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7AABF05B" w14:textId="77777777" w:rsidR="005D5D27" w:rsidRDefault="005D5D27" w:rsidP="005D5D2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Informować niezależne zakłady przetwórcze zlokalizowane w obszarze przestrzennym jednostki gospodarowania (JG) oraz niezależne szkółki leśne o wykazie FSC zabronionych pestycydów syntetycznych, zachęcając ich do unikania stosowania tych pestycydów w ich działaniach oraz w produkcji sadzonek i innych materiałów wprowadzanych do jednostki gospodarowania. </w:t>
      </w:r>
    </w:p>
    <w:p w14:paraId="3130CA32" w14:textId="77777777" w:rsidR="005D5D27" w:rsidRDefault="005D5D27" w:rsidP="005D5D27">
      <w:pPr>
        <w:pStyle w:val="Default"/>
        <w:rPr>
          <w:rFonts w:asciiTheme="minorHAnsi" w:hAnsiTheme="minorHAnsi"/>
          <w:sz w:val="22"/>
          <w:szCs w:val="22"/>
        </w:rPr>
      </w:pPr>
    </w:p>
    <w:p w14:paraId="37C9B2D0" w14:textId="77777777" w:rsidR="005D5D27" w:rsidRDefault="005D5D27" w:rsidP="005D5D27">
      <w:pPr>
        <w:pStyle w:val="Default"/>
        <w:jc w:val="both"/>
        <w:rPr>
          <w:rFonts w:asciiTheme="minorHAnsi" w:hAnsiTheme="minorHAnsi"/>
          <w:strike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Wszystkie Nadleśnictwa mają obowiązek informować w/w instytucje i firmy o wykazie FSC zabronionych pestycydów syntetycznych oraz zachęcając ich do unikania stosowania tych pestycydów w ich działaniach i produkcji.</w:t>
      </w:r>
    </w:p>
    <w:p w14:paraId="4FDD9673" w14:textId="77777777" w:rsidR="005D5D27" w:rsidRDefault="005D5D27" w:rsidP="005D5D27">
      <w:pPr>
        <w:pStyle w:val="Default"/>
        <w:jc w:val="both"/>
        <w:rPr>
          <w:rFonts w:asciiTheme="minorHAnsi" w:hAnsiTheme="minorHAnsi"/>
          <w:strike/>
          <w:color w:val="1F4E79" w:themeColor="accent1" w:themeShade="80"/>
          <w:sz w:val="22"/>
          <w:szCs w:val="22"/>
        </w:rPr>
      </w:pPr>
    </w:p>
    <w:p w14:paraId="02E19F29" w14:textId="77777777" w:rsidR="005D5D27" w:rsidRDefault="005D5D27" w:rsidP="005D5D2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4A39228" w14:textId="77777777" w:rsidR="005D5D27" w:rsidRDefault="005D5D27" w:rsidP="005D5D2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 Zwrócić się o wykaz pestycydów syntetycznych zabronionych przez FSC stosowanych przez zakłady przetwórcze i szkółki opisane w punkcie 4.12.12. </w:t>
      </w:r>
    </w:p>
    <w:p w14:paraId="322ACD18" w14:textId="77777777" w:rsidR="005D5D27" w:rsidRDefault="005D5D27" w:rsidP="005D5D27">
      <w:pPr>
        <w:pStyle w:val="Default"/>
        <w:rPr>
          <w:rFonts w:asciiTheme="minorHAnsi" w:hAnsiTheme="minorHAnsi"/>
          <w:sz w:val="22"/>
          <w:szCs w:val="22"/>
        </w:rPr>
      </w:pPr>
    </w:p>
    <w:p w14:paraId="4FD66BD0" w14:textId="447ABBFD" w:rsidR="005D5D27" w:rsidRDefault="005D5D27" w:rsidP="005D5D27">
      <w:pPr>
        <w:pStyle w:val="Default"/>
        <w:jc w:val="both"/>
        <w:rPr>
          <w:bCs/>
          <w:color w:val="00B050"/>
        </w:rPr>
        <w:sectPr w:rsidR="005D5D27">
          <w:pgSz w:w="11906" w:h="16838"/>
          <w:pgMar w:top="1134" w:right="1417" w:bottom="1417" w:left="1417" w:header="708" w:footer="708" w:gutter="0"/>
          <w:cols w:space="708"/>
        </w:sectPr>
      </w:pPr>
      <w:r>
        <w:rPr>
          <w:rFonts w:asciiTheme="minorHAnsi" w:hAnsiTheme="minorHAnsi"/>
          <w:color w:val="auto"/>
          <w:sz w:val="22"/>
          <w:szCs w:val="22"/>
        </w:rPr>
        <w:t xml:space="preserve">Wszystkie Nadleśnictwa mają obowiązek zwrócić się </w:t>
      </w:r>
      <w:r>
        <w:rPr>
          <w:rFonts w:asciiTheme="minorHAnsi" w:hAnsiTheme="minorHAnsi"/>
          <w:sz w:val="22"/>
          <w:szCs w:val="22"/>
        </w:rPr>
        <w:t>o wykaz pestycydów syntetycznych zabronionych przez FSC stosowanych przez zakłady przetwórcze i szkółki opisane w punkcie 4.12.12.</w:t>
      </w:r>
    </w:p>
    <w:p w14:paraId="0AE1AB4C" w14:textId="77777777" w:rsidR="00541632" w:rsidRPr="005D1758" w:rsidRDefault="00541632" w:rsidP="00F207AC">
      <w:pPr>
        <w:rPr>
          <w:b/>
          <w:bCs/>
        </w:rPr>
      </w:pPr>
    </w:p>
    <w:p w14:paraId="0E752E4C" w14:textId="77777777" w:rsidR="00DD625D" w:rsidRPr="005D1758" w:rsidRDefault="00DD625D" w:rsidP="00F207AC">
      <w:pPr>
        <w:rPr>
          <w:b/>
          <w:bCs/>
        </w:rPr>
      </w:pPr>
    </w:p>
    <w:p w14:paraId="407DC91D" w14:textId="77777777" w:rsidR="00DD625D" w:rsidRPr="005D1758" w:rsidRDefault="00DD625D" w:rsidP="00F207AC">
      <w:pPr>
        <w:rPr>
          <w:b/>
          <w:bCs/>
        </w:rPr>
      </w:pPr>
    </w:p>
    <w:p w14:paraId="34993D85" w14:textId="77777777" w:rsidR="00552E01" w:rsidRPr="005D1758" w:rsidRDefault="00552E01" w:rsidP="00F207AC">
      <w:pPr>
        <w:rPr>
          <w:b/>
          <w:bCs/>
        </w:rPr>
        <w:sectPr w:rsidR="00552E01" w:rsidRPr="005D1758" w:rsidSect="005D1758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5D9E4F0" w14:textId="77777777" w:rsidR="00F37C0C" w:rsidRPr="005D1758" w:rsidRDefault="00F37C0C" w:rsidP="00F37C0C">
      <w:pPr>
        <w:pStyle w:val="Default"/>
        <w:rPr>
          <w:rStyle w:val="Pogrubienie"/>
          <w:rFonts w:asciiTheme="minorHAnsi" w:hAnsiTheme="minorHAnsi"/>
        </w:rPr>
      </w:pPr>
      <w:r w:rsidRPr="005D1758">
        <w:rPr>
          <w:rStyle w:val="Pogrubienie"/>
          <w:rFonts w:asciiTheme="minorHAnsi" w:hAnsiTheme="minorHAnsi"/>
        </w:rPr>
        <w:lastRenderedPageBreak/>
        <w:t>Część II</w:t>
      </w:r>
    </w:p>
    <w:p w14:paraId="4330D249" w14:textId="77777777" w:rsidR="007029E2" w:rsidRPr="005D1758" w:rsidRDefault="00F37C0C" w:rsidP="00F37C0C">
      <w:pPr>
        <w:jc w:val="both"/>
        <w:rPr>
          <w:b/>
          <w:bCs/>
        </w:rPr>
      </w:pPr>
      <w:r w:rsidRPr="005D1758">
        <w:rPr>
          <w:b/>
          <w:bCs/>
        </w:rPr>
        <w:t>Minimalny wykaz zagrożeń, elementów i zmiennych, które należy uwzględnić w ocenie ryzyka środowiskowego i społecznego.</w:t>
      </w:r>
    </w:p>
    <w:p w14:paraId="4300012D" w14:textId="77777777" w:rsidR="00F37C0C" w:rsidRPr="005D1758" w:rsidRDefault="00F37C0C" w:rsidP="00F37C0C">
      <w:pPr>
        <w:pStyle w:val="Default"/>
        <w:rPr>
          <w:rFonts w:asciiTheme="minorHAnsi" w:hAnsiTheme="minorHAnsi"/>
        </w:rPr>
      </w:pPr>
    </w:p>
    <w:p w14:paraId="723A0033" w14:textId="77777777" w:rsidR="00B26B72" w:rsidRDefault="00B26B72" w:rsidP="00B26B72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B26B72">
        <w:rPr>
          <w:rFonts w:asciiTheme="minorHAnsi" w:hAnsiTheme="minorHAnsi"/>
          <w:b/>
          <w:bCs/>
          <w:sz w:val="22"/>
          <w:szCs w:val="22"/>
        </w:rPr>
        <w:t>Identyfikacja zagrożeń</w:t>
      </w:r>
    </w:p>
    <w:tbl>
      <w:tblPr>
        <w:tblW w:w="155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7"/>
        <w:gridCol w:w="712"/>
        <w:gridCol w:w="576"/>
        <w:gridCol w:w="576"/>
        <w:gridCol w:w="567"/>
        <w:gridCol w:w="682"/>
        <w:gridCol w:w="567"/>
        <w:gridCol w:w="707"/>
        <w:gridCol w:w="708"/>
        <w:gridCol w:w="708"/>
        <w:gridCol w:w="708"/>
        <w:gridCol w:w="708"/>
        <w:gridCol w:w="708"/>
        <w:gridCol w:w="708"/>
        <w:gridCol w:w="783"/>
        <w:gridCol w:w="783"/>
        <w:gridCol w:w="425"/>
        <w:gridCol w:w="474"/>
      </w:tblGrid>
      <w:tr w:rsidR="00345007" w:rsidRPr="005D1758" w14:paraId="56C55720" w14:textId="77777777" w:rsidTr="002C3E58">
        <w:trPr>
          <w:trHeight w:val="750"/>
          <w:tblHeader/>
        </w:trPr>
        <w:tc>
          <w:tcPr>
            <w:tcW w:w="440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69119" w14:textId="77777777" w:rsidR="00345007" w:rsidRPr="005D1758" w:rsidRDefault="00345007" w:rsidP="002C3E58">
            <w:pPr>
              <w:jc w:val="center"/>
              <w:rPr>
                <w:b/>
                <w:bCs/>
                <w:color w:val="000000"/>
              </w:rPr>
            </w:pPr>
          </w:p>
          <w:p w14:paraId="00994D91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D1758">
              <w:rPr>
                <w:b/>
                <w:bCs/>
                <w:color w:val="000000"/>
              </w:rPr>
              <w:t>WYKAZ</w:t>
            </w:r>
            <w:r>
              <w:rPr>
                <w:b/>
                <w:bCs/>
                <w:color w:val="000000"/>
              </w:rPr>
              <w:t xml:space="preserve"> WNP OBJĘTYCH</w:t>
            </w:r>
            <w:r w:rsidRPr="005D1758">
              <w:rPr>
                <w:b/>
                <w:bCs/>
                <w:color w:val="000000"/>
              </w:rPr>
              <w:t xml:space="preserve"> OGRANICZENIAMI PRZEZ FSC</w:t>
            </w:r>
          </w:p>
          <w:p w14:paraId="14417338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bCs/>
              </w:rPr>
              <w:t>221</w:t>
            </w:r>
            <w:r w:rsidRPr="005D1758">
              <w:rPr>
                <w:bCs/>
              </w:rPr>
              <w:t xml:space="preserve"> pestycydów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E005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6"/>
                <w:szCs w:val="16"/>
              </w:rPr>
              <w:t>KONWENCJE MIĘDZYNARODOWE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CFB4"/>
            <w:vAlign w:val="center"/>
            <w:hideMark/>
          </w:tcPr>
          <w:p w14:paraId="19B7F965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OSTRA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88FB4"/>
            <w:vAlign w:val="center"/>
            <w:hideMark/>
          </w:tcPr>
          <w:p w14:paraId="41E76428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PRZEWLEKŁA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BE2B"/>
            <w:vAlign w:val="center"/>
            <w:hideMark/>
          </w:tcPr>
          <w:p w14:paraId="64FA2729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r w:rsidRPr="005D1758">
              <w:rPr>
                <w:b/>
                <w:bCs/>
                <w:color w:val="000000"/>
                <w:sz w:val="19"/>
                <w:szCs w:val="19"/>
              </w:rPr>
              <w:t>TOKSYCZNOŚĆ DLA ŚRODOWISKA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4322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8"/>
                <w:szCs w:val="18"/>
              </w:rPr>
              <w:t>DIOKSYNY I METALE CIĘŻKIE</w:t>
            </w:r>
          </w:p>
        </w:tc>
      </w:tr>
      <w:tr w:rsidR="00345007" w:rsidRPr="005D1758" w14:paraId="307540B3" w14:textId="77777777" w:rsidTr="002C3E58">
        <w:trPr>
          <w:trHeight w:val="258"/>
          <w:tblHeader/>
        </w:trPr>
        <w:tc>
          <w:tcPr>
            <w:tcW w:w="44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C567E" w14:textId="77777777" w:rsidR="00345007" w:rsidRPr="005D1758" w:rsidRDefault="00345007" w:rsidP="002C3E58">
            <w:pPr>
              <w:ind w:left="-57" w:right="-57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00E1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A12A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18B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64FC2755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387DDDAB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4FADC848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58E93FDB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07439C43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47CE78CD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56FD2EBB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4.1.a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49F6A91B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5.1.a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16C23D3D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34B40B20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7A1BACC7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12C04C8D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733E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104D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45007" w:rsidRPr="005D1758" w14:paraId="309DF217" w14:textId="77777777" w:rsidTr="002C3E58">
        <w:trPr>
          <w:trHeight w:val="210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DFE" w14:textId="77777777" w:rsidR="00345007" w:rsidRPr="005D1758" w:rsidRDefault="00345007" w:rsidP="002C3E5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062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Nr CAS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18B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Substancja czynna pestycydu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ECFEFB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Sztokholmska (POP)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A079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Rotterdamska (PIC)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F321F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Montrealska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2512CC52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4"/>
                <w:szCs w:val="14"/>
              </w:rPr>
              <w:t>Skrajnie lub wysoce niebezpieczne (</w:t>
            </w:r>
            <w:proofErr w:type="spellStart"/>
            <w:r w:rsidRPr="005D1758">
              <w:rPr>
                <w:sz w:val="14"/>
                <w:szCs w:val="14"/>
              </w:rPr>
              <w:t>Ia</w:t>
            </w:r>
            <w:proofErr w:type="spellEnd"/>
            <w:r w:rsidRPr="005D1758">
              <w:rPr>
                <w:sz w:val="14"/>
                <w:szCs w:val="14"/>
              </w:rPr>
              <w:t xml:space="preserve"> oraz </w:t>
            </w:r>
            <w:proofErr w:type="spellStart"/>
            <w:r w:rsidRPr="005D1758">
              <w:rPr>
                <w:sz w:val="14"/>
                <w:szCs w:val="14"/>
              </w:rPr>
              <w:t>Ib</w:t>
            </w:r>
            <w:proofErr w:type="spellEnd"/>
            <w:r w:rsidRPr="005D1758">
              <w:rPr>
                <w:sz w:val="14"/>
                <w:szCs w:val="14"/>
              </w:rPr>
              <w:t>, WHO)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hideMark/>
          </w:tcPr>
          <w:p w14:paraId="5D351F68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ostra u ssaków i ptaków LD50&lt; 200mg/kg masy ciała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5A02CCC5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6"/>
                <w:szCs w:val="16"/>
              </w:rPr>
              <w:t>Wdychanie grozi śmiercią (H330) (GHS)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3876824D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(1 i 2A) (IARC)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35718A8E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(US EPA)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5FDD4778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 xml:space="preserve">Rakotwórczy lub </w:t>
            </w:r>
            <w:proofErr w:type="spellStart"/>
            <w:r w:rsidRPr="005D1758">
              <w:rPr>
                <w:color w:val="000000"/>
                <w:sz w:val="16"/>
                <w:szCs w:val="16"/>
              </w:rPr>
              <w:t>prawdop</w:t>
            </w:r>
            <w:proofErr w:type="spellEnd"/>
            <w:r w:rsidRPr="005D1758">
              <w:rPr>
                <w:color w:val="000000"/>
                <w:sz w:val="16"/>
                <w:szCs w:val="16"/>
              </w:rPr>
              <w:t>. rakotwórczy (1A i 1B, 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470BB749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Substancja mutagenna lub prawdopodobnie mutagenna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27834C8E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5D1758">
              <w:rPr>
                <w:color w:val="000000"/>
                <w:sz w:val="14"/>
                <w:szCs w:val="14"/>
              </w:rPr>
              <w:t xml:space="preserve">Substancja toksyczna wpływająca i </w:t>
            </w:r>
            <w:proofErr w:type="spellStart"/>
            <w:r w:rsidRPr="005D1758">
              <w:rPr>
                <w:color w:val="000000"/>
                <w:sz w:val="14"/>
                <w:szCs w:val="14"/>
              </w:rPr>
              <w:t>prawdop</w:t>
            </w:r>
            <w:proofErr w:type="spellEnd"/>
            <w:r w:rsidRPr="005D1758">
              <w:rPr>
                <w:color w:val="000000"/>
                <w:sz w:val="14"/>
                <w:szCs w:val="14"/>
              </w:rPr>
              <w:t>. wpływająca na rozrodczość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731C9FAD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Kategoria 1 (EDC EU)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hideMark/>
          </w:tcPr>
          <w:p w14:paraId="2C26A39D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12"/>
                <w:szCs w:val="12"/>
              </w:rPr>
            </w:pPr>
            <w:r w:rsidRPr="005D1758">
              <w:rPr>
                <w:color w:val="000000"/>
                <w:sz w:val="12"/>
                <w:szCs w:val="12"/>
              </w:rPr>
              <w:t>Substancja podejrzewana o rakotwórczość (Kat. 2, GHS) i substancja uszkadzająca układ hormonalny (Kat. 2, GHS)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615F89F0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organizmów wodnych (LC/EC 50 &lt;50 µg/l)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293B961A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środowiska (trwała; bioakumulacja; ługowanie)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FA3C15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Dioksyna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FED43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Metal ciężki</w:t>
            </w:r>
          </w:p>
        </w:tc>
      </w:tr>
      <w:tr w:rsidR="00345007" w:rsidRPr="005D1758" w14:paraId="175FD974" w14:textId="77777777" w:rsidTr="002C3E58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3286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142D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23564-05-8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BF7E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Tiofanat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metylowy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00A5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270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0AE1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27F72B90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hideMark/>
          </w:tcPr>
          <w:p w14:paraId="504EF446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7FFE0DC6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506357CB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0E2BF21F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45007">
              <w:rPr>
                <w:color w:val="000000"/>
                <w:sz w:val="20"/>
                <w:szCs w:val="20"/>
              </w:rPr>
              <w:t>●</w:t>
            </w: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46F44DE7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255D6B10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0BE11DFB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5647DF81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1E562FFB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hideMark/>
          </w:tcPr>
          <w:p w14:paraId="6B7B7B09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7B2BF3B7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F9A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B4FA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325E991" w14:textId="77777777" w:rsidR="00345007" w:rsidRDefault="00345007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707E42E1" w14:textId="77777777" w:rsidR="00B26B72" w:rsidRDefault="00B26B72" w:rsidP="00B26B72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36D89E76" w14:textId="77777777" w:rsidR="00F37C0C" w:rsidRPr="005D1758" w:rsidRDefault="00F37C0C" w:rsidP="00AC47D7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 xml:space="preserve">Charakteryzacja ekspozycji </w:t>
      </w:r>
      <w:r w:rsidR="00AC47D7" w:rsidRPr="005D1758">
        <w:rPr>
          <w:rFonts w:asciiTheme="minorHAnsi" w:hAnsiTheme="minorHAnsi"/>
          <w:b/>
          <w:bCs/>
          <w:sz w:val="22"/>
          <w:szCs w:val="22"/>
        </w:rPr>
        <w:t>(str. 39)</w:t>
      </w:r>
    </w:p>
    <w:p w14:paraId="2F43DDEC" w14:textId="77777777" w:rsidR="00DD625D" w:rsidRPr="005D1758" w:rsidRDefault="00DD625D" w:rsidP="00DD62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127"/>
        <w:gridCol w:w="5103"/>
        <w:gridCol w:w="4961"/>
      </w:tblGrid>
      <w:tr w:rsidR="00DD625D" w:rsidRPr="005D1758" w14:paraId="3DD4F27B" w14:textId="77777777" w:rsidTr="00DD625D">
        <w:trPr>
          <w:trHeight w:val="91"/>
        </w:trPr>
        <w:tc>
          <w:tcPr>
            <w:tcW w:w="13995" w:type="dxa"/>
            <w:gridSpan w:val="4"/>
          </w:tcPr>
          <w:p w14:paraId="59A58465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Data: rok 2020 </w:t>
            </w:r>
            <w:r w:rsidR="00F631A4">
              <w:rPr>
                <w:rFonts w:cs="Arial"/>
                <w:b/>
                <w:bCs/>
                <w:color w:val="000000"/>
              </w:rPr>
              <w:t>-2021</w:t>
            </w:r>
          </w:p>
        </w:tc>
      </w:tr>
      <w:tr w:rsidR="00DD625D" w:rsidRPr="005D1758" w14:paraId="683890CF" w14:textId="77777777" w:rsidTr="00DD625D">
        <w:trPr>
          <w:trHeight w:val="91"/>
        </w:trPr>
        <w:tc>
          <w:tcPr>
            <w:tcW w:w="13995" w:type="dxa"/>
            <w:gridSpan w:val="4"/>
          </w:tcPr>
          <w:p w14:paraId="2D671FB8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>Kraj: Polska</w:t>
            </w:r>
          </w:p>
        </w:tc>
      </w:tr>
      <w:tr w:rsidR="00DD625D" w:rsidRPr="005D1758" w14:paraId="5D4214C7" w14:textId="77777777" w:rsidTr="005B1D4A">
        <w:trPr>
          <w:trHeight w:val="1437"/>
        </w:trPr>
        <w:tc>
          <w:tcPr>
            <w:tcW w:w="1804" w:type="dxa"/>
          </w:tcPr>
          <w:p w14:paraId="5D185387" w14:textId="77777777" w:rsidR="00DD625D" w:rsidRPr="005D1758" w:rsidRDefault="00DD625D" w:rsidP="00961B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Proponowany pestycyd </w:t>
            </w:r>
            <w:r w:rsidR="000B483A">
              <w:rPr>
                <w:rFonts w:cs="Arial"/>
                <w:b/>
                <w:bCs/>
                <w:color w:val="000000"/>
              </w:rPr>
              <w:t>syntetyczny</w:t>
            </w:r>
          </w:p>
        </w:tc>
        <w:tc>
          <w:tcPr>
            <w:tcW w:w="2127" w:type="dxa"/>
          </w:tcPr>
          <w:p w14:paraId="09494554" w14:textId="77777777" w:rsidR="005B1D4A" w:rsidRDefault="000B483A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cs="Arial"/>
                <w:b/>
                <w:bCs/>
                <w:color w:val="000000" w:themeColor="text1"/>
              </w:rPr>
              <w:t>Tiofanat</w:t>
            </w:r>
            <w:proofErr w:type="spellEnd"/>
            <w:r>
              <w:rPr>
                <w:rFonts w:cs="Arial"/>
                <w:b/>
                <w:bCs/>
                <w:color w:val="000000" w:themeColor="text1"/>
              </w:rPr>
              <w:t xml:space="preserve"> metylowy</w:t>
            </w:r>
          </w:p>
          <w:p w14:paraId="5AF54E7A" w14:textId="77777777" w:rsidR="000B483A" w:rsidRDefault="000B483A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500g /1 litr środka</w:t>
            </w:r>
          </w:p>
          <w:p w14:paraId="0FD0898C" w14:textId="77777777" w:rsidR="000B483A" w:rsidRPr="00162FCB" w:rsidRDefault="000B483A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(41,91%)</w:t>
            </w:r>
          </w:p>
        </w:tc>
        <w:tc>
          <w:tcPr>
            <w:tcW w:w="5103" w:type="dxa"/>
          </w:tcPr>
          <w:p w14:paraId="4E397090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Cel stosowania </w:t>
            </w:r>
          </w:p>
          <w:p w14:paraId="0CA020B4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961" w:type="dxa"/>
          </w:tcPr>
          <w:p w14:paraId="76134B71" w14:textId="77777777" w:rsidR="00DD625D" w:rsidRPr="005D1758" w:rsidRDefault="000B483A" w:rsidP="00B82C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Zapobieganie oraz zwalczanie chorób tj. </w:t>
            </w:r>
            <w:r w:rsidRPr="000B483A">
              <w:rPr>
                <w:rFonts w:cs="Arial"/>
                <w:color w:val="000000" w:themeColor="text1"/>
              </w:rPr>
              <w:t xml:space="preserve">zgorzel siewek, szara pleśń, rdze, plamistość liści, </w:t>
            </w:r>
            <w:proofErr w:type="spellStart"/>
            <w:r w:rsidRPr="000B483A">
              <w:rPr>
                <w:rFonts w:cs="Arial"/>
                <w:color w:val="000000" w:themeColor="text1"/>
              </w:rPr>
              <w:t>werticilioza</w:t>
            </w:r>
            <w:proofErr w:type="spellEnd"/>
            <w:r w:rsidRPr="000B483A">
              <w:rPr>
                <w:rFonts w:cs="Arial"/>
                <w:color w:val="000000" w:themeColor="text1"/>
              </w:rPr>
              <w:t>, wiosenna osutka sosny, wierzchołkowe zamieranie pędów, zgnilizna korzeniowa atakujących siewki i sadzonki drzew leśnych</w:t>
            </w:r>
            <w:r>
              <w:rPr>
                <w:rFonts w:cs="Arial"/>
                <w:color w:val="000000" w:themeColor="text1"/>
              </w:rPr>
              <w:t xml:space="preserve"> w odnowieniach i zalesieniach oraz na plantacjach nasiennych drzew leśnych.</w:t>
            </w:r>
          </w:p>
        </w:tc>
      </w:tr>
    </w:tbl>
    <w:p w14:paraId="4B23F155" w14:textId="77777777" w:rsidR="00DD625D" w:rsidRPr="005D1758" w:rsidRDefault="00DD625D" w:rsidP="00DD625D">
      <w:pPr>
        <w:rPr>
          <w:b/>
          <w:bCs/>
        </w:rPr>
      </w:pPr>
    </w:p>
    <w:p w14:paraId="3CEE17F4" w14:textId="77777777" w:rsidR="00552E01" w:rsidRPr="005D1758" w:rsidRDefault="00552E01" w:rsidP="00552E01">
      <w:pPr>
        <w:jc w:val="both"/>
        <w:rPr>
          <w:rFonts w:cs="Arial"/>
          <w:b/>
          <w:bCs/>
        </w:rPr>
      </w:pPr>
      <w:r w:rsidRPr="005D1758">
        <w:rPr>
          <w:b/>
          <w:bCs/>
        </w:rPr>
        <w:t>Identyfikacja i ocena ryzyka, które jest funkcją toksyczności i narażenia oraz strategie ograniczania ryzyka w celu jego minimalizacji</w:t>
      </w:r>
    </w:p>
    <w:tbl>
      <w:tblPr>
        <w:tblStyle w:val="Tabela-Siatka"/>
        <w:tblW w:w="1402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48"/>
        <w:gridCol w:w="4792"/>
        <w:gridCol w:w="4678"/>
      </w:tblGrid>
      <w:tr w:rsidR="00C740FA" w:rsidRPr="005D1758" w14:paraId="4EF82CF7" w14:textId="77777777" w:rsidTr="00CC29B1">
        <w:trPr>
          <w:trHeight w:val="43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1519CFD3" w14:textId="77777777" w:rsidR="00C740FA" w:rsidRPr="005D1758" w:rsidRDefault="00C740FA" w:rsidP="00C375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lastRenderedPageBreak/>
              <w:t xml:space="preserve">Elementy </w:t>
            </w:r>
            <w:r w:rsidR="00C37558" w:rsidRPr="005D1758">
              <w:rPr>
                <w:b/>
                <w:sz w:val="20"/>
                <w:szCs w:val="20"/>
              </w:rPr>
              <w:t>ekspozycji</w:t>
            </w:r>
          </w:p>
        </w:tc>
        <w:tc>
          <w:tcPr>
            <w:tcW w:w="3148" w:type="dxa"/>
            <w:vMerge w:val="restart"/>
            <w:shd w:val="clear" w:color="auto" w:fill="488FB4"/>
            <w:vAlign w:val="center"/>
          </w:tcPr>
          <w:p w14:paraId="1A467F83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Minimalny wykaz wartości</w:t>
            </w:r>
          </w:p>
        </w:tc>
        <w:tc>
          <w:tcPr>
            <w:tcW w:w="4792" w:type="dxa"/>
            <w:vMerge w:val="restart"/>
            <w:shd w:val="clear" w:color="auto" w:fill="F4B083" w:themeFill="accent2" w:themeFillTint="99"/>
            <w:vAlign w:val="center"/>
          </w:tcPr>
          <w:p w14:paraId="1D967E5D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Opis przyczyn, które decydują o wystąpieniu lub braku ryzyka</w:t>
            </w:r>
          </w:p>
          <w:p w14:paraId="317A6AFC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8D08D" w:themeFill="accent6" w:themeFillTint="99"/>
            <w:vAlign w:val="center"/>
          </w:tcPr>
          <w:p w14:paraId="40671E0A" w14:textId="77777777" w:rsidR="00C740FA" w:rsidRPr="005D1758" w:rsidRDefault="00C740FA" w:rsidP="0029135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Strategie łagodzące mające na celu zminimalizowanie ryzyka</w:t>
            </w:r>
            <w:r w:rsidR="00361DAF">
              <w:rPr>
                <w:rFonts w:cs="Arial"/>
              </w:rPr>
              <w:t xml:space="preserve">  </w:t>
            </w:r>
          </w:p>
        </w:tc>
      </w:tr>
      <w:tr w:rsidR="00C740FA" w:rsidRPr="005D1758" w14:paraId="4A61E601" w14:textId="77777777" w:rsidTr="00CC29B1">
        <w:trPr>
          <w:trHeight w:val="255"/>
        </w:trPr>
        <w:tc>
          <w:tcPr>
            <w:tcW w:w="1411" w:type="dxa"/>
            <w:vMerge/>
            <w:shd w:val="clear" w:color="auto" w:fill="488FB4"/>
            <w:vAlign w:val="center"/>
          </w:tcPr>
          <w:p w14:paraId="21E1D693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6FF18CE2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20B69EE2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18FA036B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740FA" w:rsidRPr="005D1758" w14:paraId="3C170E1A" w14:textId="77777777" w:rsidTr="00CC29B1">
        <w:trPr>
          <w:cantSplit/>
          <w:trHeight w:val="1804"/>
        </w:trPr>
        <w:tc>
          <w:tcPr>
            <w:tcW w:w="1411" w:type="dxa"/>
            <w:vMerge/>
            <w:shd w:val="clear" w:color="auto" w:fill="488FB4"/>
            <w:vAlign w:val="center"/>
          </w:tcPr>
          <w:p w14:paraId="28C18ECE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24903188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4AC8E6D4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184C243E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B4A5B" w:rsidRPr="005D1758" w14:paraId="70AD6018" w14:textId="77777777" w:rsidTr="00FC5992">
        <w:trPr>
          <w:trHeight w:val="568"/>
        </w:trPr>
        <w:tc>
          <w:tcPr>
            <w:tcW w:w="1411" w:type="dxa"/>
            <w:shd w:val="clear" w:color="auto" w:fill="488FB4"/>
            <w:vAlign w:val="center"/>
          </w:tcPr>
          <w:p w14:paraId="5B84E265" w14:textId="77777777" w:rsidR="003B4A5B" w:rsidRPr="005D1758" w:rsidRDefault="003B4A5B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3EE2C90" w14:textId="77777777" w:rsidR="003B4A5B" w:rsidRPr="005D1758" w:rsidRDefault="003B4A5B" w:rsidP="00F3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3304B0F" w14:textId="77777777" w:rsidR="00AB3441" w:rsidRPr="00162FCB" w:rsidRDefault="00AB344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62FCB">
              <w:rPr>
                <w:rFonts w:cs="Arial"/>
                <w:color w:val="000000" w:themeColor="text1"/>
                <w:sz w:val="20"/>
                <w:szCs w:val="20"/>
              </w:rPr>
              <w:t>UWAGI PODSTAWOWE</w:t>
            </w:r>
          </w:p>
          <w:p w14:paraId="5EBC4182" w14:textId="77777777" w:rsidR="00A543BB" w:rsidRPr="00A543BB" w:rsidRDefault="00955C02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Tiofan</w:t>
            </w:r>
            <w:proofErr w:type="spellEnd"/>
            <w:r w:rsidR="00A543BB" w:rsidRPr="00A543BB">
              <w:rPr>
                <w:rFonts w:cs="Arial"/>
                <w:color w:val="000000" w:themeColor="text1"/>
                <w:sz w:val="20"/>
                <w:szCs w:val="20"/>
              </w:rPr>
              <w:t xml:space="preserve"> 500 SC jest fungicydem, koncentratem w postaci stężonej zawiesiny do rozcieńczania wodą o</w:t>
            </w:r>
          </w:p>
          <w:p w14:paraId="772A07DE" w14:textId="77777777" w:rsidR="00A543BB" w:rsidRPr="00A543BB" w:rsidRDefault="00A543BB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A543BB">
              <w:rPr>
                <w:rFonts w:cs="Arial"/>
                <w:color w:val="000000" w:themeColor="text1"/>
                <w:sz w:val="20"/>
                <w:szCs w:val="20"/>
              </w:rPr>
              <w:t>działaniu układowym do stosowania zapobiegawczego, interwencyjnego i wyniszczającego w ochronie</w:t>
            </w:r>
          </w:p>
          <w:p w14:paraId="227CC237" w14:textId="77777777" w:rsidR="00A543BB" w:rsidRPr="00A543BB" w:rsidRDefault="00A543BB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A543BB">
              <w:rPr>
                <w:rFonts w:cs="Arial"/>
                <w:color w:val="000000" w:themeColor="text1"/>
                <w:sz w:val="20"/>
                <w:szCs w:val="20"/>
              </w:rPr>
              <w:t>roślin rolniczych, sadowniczych, warzywnych i ozdobnych oraz w roślinach szkółkarskich leśnych,</w:t>
            </w:r>
            <w:r w:rsidR="009324D1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A543BB">
              <w:rPr>
                <w:rFonts w:cs="Arial"/>
                <w:color w:val="000000" w:themeColor="text1"/>
                <w:sz w:val="20"/>
                <w:szCs w:val="20"/>
              </w:rPr>
              <w:t>odnowieniach, zalesieniach oraz na plantacjach nasiennych drzew leśnych przed chorobami</w:t>
            </w:r>
            <w:r w:rsidR="009324D1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A543BB">
              <w:rPr>
                <w:rFonts w:cs="Arial"/>
                <w:color w:val="000000" w:themeColor="text1"/>
                <w:sz w:val="20"/>
                <w:szCs w:val="20"/>
              </w:rPr>
              <w:t>grzybowymi.</w:t>
            </w:r>
          </w:p>
          <w:p w14:paraId="2733877B" w14:textId="77777777" w:rsidR="00961B4E" w:rsidRDefault="00955C02" w:rsidP="00955C0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color w:val="000000" w:themeColor="text1"/>
                <w:sz w:val="20"/>
                <w:szCs w:val="20"/>
              </w:rPr>
              <w:t>Środek przeznaczony do stosowania przy użyci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u samobieżnego lub ciągnikowego </w:t>
            </w:r>
            <w:r w:rsidRPr="00955C02">
              <w:rPr>
                <w:rFonts w:cs="Arial"/>
                <w:color w:val="000000" w:themeColor="text1"/>
                <w:sz w:val="20"/>
                <w:szCs w:val="20"/>
              </w:rPr>
              <w:t>opryskiwacza polowego lub sadowniczego</w:t>
            </w:r>
            <w:r w:rsidR="00A543BB" w:rsidRPr="00A543BB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7EE148CE" w14:textId="77777777" w:rsidR="00A543BB" w:rsidRDefault="00A543BB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3B2FFD9" w14:textId="77777777" w:rsidR="00802B92" w:rsidRPr="00802B92" w:rsidRDefault="00802B92" w:rsidP="00A543BB">
            <w:pPr>
              <w:rPr>
                <w:rFonts w:cs="Arial"/>
                <w:caps/>
                <w:color w:val="000000" w:themeColor="text1"/>
                <w:sz w:val="20"/>
                <w:szCs w:val="20"/>
              </w:rPr>
            </w:pPr>
            <w:r w:rsidRPr="00802B92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Zalecane ilości preparatu </w:t>
            </w:r>
            <w:r w:rsidR="00955C02">
              <w:rPr>
                <w:rFonts w:cs="Arial"/>
                <w:caps/>
                <w:color w:val="000000" w:themeColor="text1"/>
                <w:sz w:val="20"/>
                <w:szCs w:val="20"/>
              </w:rPr>
              <w:t>Tiofan</w:t>
            </w:r>
            <w:r w:rsidRPr="00802B92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 500</w:t>
            </w:r>
            <w:r w:rsidR="009324D1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 SC</w:t>
            </w:r>
            <w:r w:rsidRPr="00802B92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: </w:t>
            </w:r>
          </w:p>
          <w:p w14:paraId="250DE8CC" w14:textId="77777777" w:rsidR="00955C02" w:rsidRPr="00955C02" w:rsidRDefault="00955C02" w:rsidP="00955C0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Siewki leśnych gatunków drzew iglastych i liściastych</w:t>
            </w:r>
          </w:p>
          <w:p w14:paraId="21A8A018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Zgorzel siewek</w:t>
            </w:r>
          </w:p>
          <w:p w14:paraId="5D128538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Stosować w przypadku pojawienia się choroby lub prewencyjnie.</w:t>
            </w:r>
          </w:p>
          <w:p w14:paraId="2A8DA0A5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Maksymalna/zalecana dawka dla jednorazowego zastosowania: 1,4 l/ha.</w:t>
            </w:r>
          </w:p>
          <w:p w14:paraId="1658919E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Maksymalna liczba zabiegów w sezonie wegetacyjnym: 1.</w:t>
            </w:r>
          </w:p>
          <w:p w14:paraId="5ED70C4D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Zalecana ilość wody: 1000 l/ha.</w:t>
            </w:r>
          </w:p>
          <w:p w14:paraId="7AFFBEC2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Zalecane opryskiwanie: drobnokropliste.</w:t>
            </w:r>
          </w:p>
          <w:p w14:paraId="4046220C" w14:textId="77777777" w:rsidR="00955C02" w:rsidRPr="00531F5C" w:rsidRDefault="00955C02" w:rsidP="00955C0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31F5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Siewki i sadzonki leśnych gatunków drzew iglastych i liściastych</w:t>
            </w:r>
          </w:p>
          <w:p w14:paraId="5D94ECB7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Szara pleśń, rdze</w:t>
            </w:r>
          </w:p>
          <w:p w14:paraId="354A17D3" w14:textId="77777777" w:rsidR="00955C02" w:rsidRPr="003007CB" w:rsidRDefault="00955C02" w:rsidP="00955C0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3007C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Siewki i sadzonki leśnych gatunków drzew liściastych</w:t>
            </w:r>
          </w:p>
          <w:p w14:paraId="7680D057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Plamistości liści, </w:t>
            </w:r>
            <w:proofErr w:type="spellStart"/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werticilioza</w:t>
            </w:r>
            <w:proofErr w:type="spellEnd"/>
          </w:p>
          <w:p w14:paraId="46C59FE0" w14:textId="77777777" w:rsidR="00955C02" w:rsidRPr="003007CB" w:rsidRDefault="00955C02" w:rsidP="00955C0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3007C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Siewki leśnych gatunków drzew iglastych i liściastych</w:t>
            </w:r>
          </w:p>
          <w:p w14:paraId="26934166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lastRenderedPageBreak/>
              <w:t>Wiosenna osutka sosny, wierzchołkowe zamieranie pędów, zgnilizna korzeniowa</w:t>
            </w:r>
          </w:p>
          <w:p w14:paraId="7A40A48B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Stosować w przypadku pojawienia się chorób lub prewencyjnie.</w:t>
            </w:r>
          </w:p>
          <w:p w14:paraId="1CF55512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Maksymalna/zalecana dawka dla jednorazowego zastosowania: 1,4 l/ha.</w:t>
            </w:r>
          </w:p>
          <w:p w14:paraId="0ACD4EA9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Liczba zabiegów: 1.</w:t>
            </w:r>
          </w:p>
          <w:p w14:paraId="014F68F0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Zalecana ilość wody: 500-750 l/ha.</w:t>
            </w:r>
          </w:p>
          <w:p w14:paraId="5E7973DC" w14:textId="77777777" w:rsidR="00955C0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Zalecane opryskiwanie: drobnokropliste.</w:t>
            </w:r>
          </w:p>
          <w:p w14:paraId="745EB35C" w14:textId="77777777" w:rsidR="00802B92" w:rsidRPr="00955C02" w:rsidRDefault="00955C02" w:rsidP="00955C0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55C02">
              <w:rPr>
                <w:rFonts w:cs="Arial"/>
                <w:bCs/>
                <w:color w:val="000000" w:themeColor="text1"/>
                <w:sz w:val="20"/>
                <w:szCs w:val="20"/>
              </w:rPr>
              <w:t>Maksymalna łączna liczba zabiegów w sezonie wegetacyjnym: 1.</w:t>
            </w:r>
          </w:p>
          <w:p w14:paraId="7013C010" w14:textId="77777777" w:rsidR="00955C02" w:rsidRDefault="00955C02" w:rsidP="00955C02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0BC1887" w14:textId="77777777" w:rsidR="002E07FF" w:rsidRPr="0096521F" w:rsidRDefault="003B4A5B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>Z opisów ryzyka</w:t>
            </w:r>
            <w:r w:rsidR="005B1D4A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wynika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jasno, że 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ważnymi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kwestiami są bezpieczeństwo pracowników i potencjalne zanieczyszczenie wody. Strategie łagodzenia koncentrują się na tych kluczowych zagrożeniach, ale uwzględniają także inne, zidentyfikowane z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>agrożenia: potencjalny wpływ na</w:t>
            </w:r>
            <w:r w:rsidR="00162FCB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gatunki 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stawonogów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w tym pszczół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0B05D07B" w14:textId="77777777" w:rsidR="003B4A5B" w:rsidRPr="0096521F" w:rsidRDefault="003B4A5B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91BC590" w14:textId="77777777" w:rsidR="0096521F" w:rsidRPr="0096521F" w:rsidRDefault="0096521F" w:rsidP="0096521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W celu </w:t>
            </w:r>
            <w:r w:rsidRPr="0096521F">
              <w:rPr>
                <w:rFonts w:cstheme="minorHAnsi"/>
                <w:color w:val="000000" w:themeColor="text1"/>
                <w:sz w:val="20"/>
                <w:szCs w:val="20"/>
              </w:rPr>
              <w:t>zminimalizowania ryzyka uodparniania się zwalczanych populacji grzybów chorobotwórczych na</w:t>
            </w:r>
          </w:p>
          <w:p w14:paraId="39771F12" w14:textId="77777777" w:rsidR="0096521F" w:rsidRPr="00DC3EDE" w:rsidRDefault="0096521F" w:rsidP="003007C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521F">
              <w:rPr>
                <w:rFonts w:cstheme="minorHAnsi"/>
                <w:color w:val="000000" w:themeColor="text1"/>
                <w:sz w:val="20"/>
                <w:szCs w:val="20"/>
              </w:rPr>
              <w:t>tiofanat</w:t>
            </w:r>
            <w:proofErr w:type="spellEnd"/>
            <w:r w:rsidRPr="0096521F">
              <w:rPr>
                <w:rFonts w:cstheme="minorHAnsi"/>
                <w:color w:val="000000" w:themeColor="text1"/>
                <w:sz w:val="20"/>
                <w:szCs w:val="20"/>
              </w:rPr>
              <w:t xml:space="preserve"> metylowy w przypadku konieczności powtórzenia zabiegu zaleca się zastosować środek,</w:t>
            </w:r>
            <w:r w:rsidR="00DC3ED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6521F">
              <w:rPr>
                <w:rFonts w:cstheme="minorHAnsi"/>
                <w:color w:val="000000" w:themeColor="text1"/>
                <w:sz w:val="20"/>
                <w:szCs w:val="20"/>
              </w:rPr>
              <w:t>zawierający substancję czynną z innej grupy chemicznej, o odmiennym mechanizmie działania. W razie wystąpienia odporności grzybów chorobotwórczych przerwać stosowanie środka</w:t>
            </w:r>
            <w:r w:rsidR="00162FCB" w:rsidRPr="0096521F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96521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14:paraId="29EFD5D3" w14:textId="77777777" w:rsidR="00AB3441" w:rsidRPr="00413090" w:rsidRDefault="00AB344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PODSTAWOWE STRATEGIE</w:t>
            </w:r>
          </w:p>
          <w:p w14:paraId="70EAC2C9" w14:textId="77777777" w:rsidR="002E07FF" w:rsidRPr="00413090" w:rsidRDefault="002E07FF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Środki ostrożności dla osób stosujących środek:</w:t>
            </w:r>
          </w:p>
          <w:p w14:paraId="793F8FA1" w14:textId="77777777" w:rsidR="00802B92" w:rsidRPr="00413090" w:rsidRDefault="00802B92" w:rsidP="00802B92">
            <w:pPr>
              <w:pStyle w:val="Akapitzlist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Nie używać przed zapoznaniem się i zrozumieniem wszystkich środków bezpieczeństwa.</w:t>
            </w:r>
          </w:p>
          <w:p w14:paraId="16760203" w14:textId="77777777" w:rsidR="00802B92" w:rsidRPr="00413090" w:rsidRDefault="00802B92" w:rsidP="00802B92">
            <w:pPr>
              <w:pStyle w:val="Akapitzlist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Unikać wdychania mgły.</w:t>
            </w:r>
          </w:p>
          <w:p w14:paraId="4837DD91" w14:textId="77777777" w:rsidR="00413090" w:rsidRDefault="00802B92" w:rsidP="00413090">
            <w:pPr>
              <w:pStyle w:val="Akapitzlist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Dokładnie umyć skórę po użyciu środka.</w:t>
            </w:r>
          </w:p>
          <w:p w14:paraId="223BF186" w14:textId="77777777" w:rsidR="00802B92" w:rsidRPr="00413090" w:rsidRDefault="00802B92" w:rsidP="00413090">
            <w:pPr>
              <w:pStyle w:val="Akapitzlist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Nosić odpowiednie rękawice ochronne</w:t>
            </w:r>
          </w:p>
        </w:tc>
      </w:tr>
      <w:tr w:rsidR="00C740FA" w:rsidRPr="005D1758" w14:paraId="145379B7" w14:textId="77777777" w:rsidTr="00CC29B1">
        <w:trPr>
          <w:trHeight w:val="56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464C5E52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7ACB5550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6594E2FC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1BD4C061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Środowiskowe</w:t>
            </w:r>
          </w:p>
          <w:p w14:paraId="4BE5131E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br w:type="page"/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E1B437C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Gleba (erozja, degradacja, flora i fauna, magazynowanie węgla)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6F8C0DD" w14:textId="77777777" w:rsidR="00C740FA" w:rsidRPr="002F7609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  <w:r w:rsidR="007B26A5" w:rsidRPr="002F7609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00BCFCD" w14:textId="77777777" w:rsidR="0096521F" w:rsidRPr="0096521F" w:rsidRDefault="002F7609" w:rsidP="0096521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Resztki cieczy użytkowej należy: ‒</w:t>
            </w:r>
            <w:r w:rsidR="0096521F" w:rsidRPr="0096521F">
              <w:rPr>
                <w:rFonts w:ascii="TimesNewRoman" w:hAnsi="TimesNewRoman" w:cs="TimesNewRoman"/>
              </w:rPr>
              <w:t xml:space="preserve"> 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>po uprzednim rozcieńczeniu zużyć na powierzchni, na której przeprowadzono zabieg, jeżeli jest to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>możliwe, lub,</w:t>
            </w:r>
          </w:p>
          <w:p w14:paraId="102FCC6F" w14:textId="77777777" w:rsidR="0096521F" w:rsidRPr="0096521F" w:rsidRDefault="0096521F" w:rsidP="0096521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>- unieszkodliwić z wykorzystaniem rozwiązań technicznych zapewniających biologiczną degradację</w:t>
            </w:r>
          </w:p>
          <w:p w14:paraId="14C2739A" w14:textId="77777777" w:rsidR="0096521F" w:rsidRPr="0096521F" w:rsidRDefault="0096521F" w:rsidP="0096521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>substancji czynnych środków ochrony roślin, lub,</w:t>
            </w:r>
          </w:p>
          <w:p w14:paraId="02D9940B" w14:textId="77777777" w:rsidR="00842508" w:rsidRDefault="0096521F" w:rsidP="0096521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>- unieszkodliwić w inny sposób, zgodny z przepisami o odpadach.</w:t>
            </w:r>
          </w:p>
          <w:p w14:paraId="70112D34" w14:textId="77777777" w:rsidR="001543A6" w:rsidRPr="001543A6" w:rsidRDefault="001543A6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Niewykorzystany środek przekazać do podmiotu uprawnionego do odbierania odpadów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niebezpiecznych.</w:t>
            </w:r>
          </w:p>
          <w:p w14:paraId="5E002179" w14:textId="77777777" w:rsidR="001543A6" w:rsidRPr="001543A6" w:rsidRDefault="001543A6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Opróżnione opakowania po środku zwrócić do sprzedawcy środków ochrony roślin będących środkami</w:t>
            </w:r>
          </w:p>
          <w:p w14:paraId="4610F9FF" w14:textId="77777777" w:rsidR="001543A6" w:rsidRPr="002F7609" w:rsidRDefault="00DC3EDE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N</w:t>
            </w:r>
            <w:r w:rsidR="001543A6" w:rsidRPr="001543A6">
              <w:rPr>
                <w:rFonts w:cs="Arial"/>
                <w:color w:val="000000" w:themeColor="text1"/>
                <w:sz w:val="20"/>
                <w:szCs w:val="20"/>
              </w:rPr>
              <w:t>iebezpiecznymi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740FA" w:rsidRPr="005D1758" w14:paraId="61124D0B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61711F4B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BCA7AD4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Woda (wody gruntowe, wody powierzchniowe, zasoby wodne)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1D6F726" w14:textId="77777777" w:rsidR="00C740FA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Możliwe</w:t>
            </w:r>
            <w:r w:rsidR="003B1580" w:rsidRPr="002F7609">
              <w:rPr>
                <w:rFonts w:cs="Arial"/>
                <w:color w:val="000000" w:themeColor="text1"/>
                <w:sz w:val="20"/>
                <w:szCs w:val="20"/>
              </w:rPr>
              <w:t xml:space="preserve"> zanieczyszcz</w:t>
            </w: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enie</w:t>
            </w:r>
            <w:r w:rsidR="003B1580" w:rsidRPr="002F7609">
              <w:rPr>
                <w:rFonts w:cs="Arial"/>
                <w:color w:val="000000" w:themeColor="text1"/>
                <w:sz w:val="20"/>
                <w:szCs w:val="20"/>
              </w:rPr>
              <w:t xml:space="preserve"> wód środkiem ochrony roślin lub jego opakowaniem.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ED4485F" w14:textId="77777777" w:rsidR="004E6B6F" w:rsidRDefault="00A075DA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Unikać zanieczyszczania wód poprzez rowy odwadniające z gospodarstw i dróg.</w:t>
            </w:r>
            <w:r w:rsidR="002F760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0E916A3" w14:textId="77777777" w:rsidR="004E6B6F" w:rsidRDefault="004E6B6F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Nie zanieczyszczać wód środkiem ochrony roślin lub jego opakowaniem.</w:t>
            </w:r>
          </w:p>
          <w:p w14:paraId="191658EA" w14:textId="77777777" w:rsidR="004E6B6F" w:rsidRDefault="004E6B6F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Nie myć aparatury w pobliżu wód powierzchniowych.</w:t>
            </w:r>
          </w:p>
          <w:p w14:paraId="095DB97D" w14:textId="77777777" w:rsidR="001543A6" w:rsidRPr="001543A6" w:rsidRDefault="002F7609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Opróżnione  opak</w:t>
            </w:r>
            <w:r w:rsidR="001543A6">
              <w:rPr>
                <w:rFonts w:cs="Arial"/>
                <w:color w:val="000000" w:themeColor="text1"/>
                <w:sz w:val="20"/>
                <w:szCs w:val="20"/>
              </w:rPr>
              <w:t>owania  po  środku  należy</w:t>
            </w: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 xml:space="preserve"> zwrócić  do  sprzed</w:t>
            </w:r>
            <w:r w:rsidR="001543A6">
              <w:rPr>
                <w:rFonts w:cs="Arial"/>
                <w:color w:val="000000" w:themeColor="text1"/>
                <w:sz w:val="20"/>
                <w:szCs w:val="20"/>
              </w:rPr>
              <w:t xml:space="preserve">awcy  środków  ochrony  roślin. </w:t>
            </w:r>
            <w:r w:rsidR="001543A6" w:rsidRPr="001543A6">
              <w:rPr>
                <w:rFonts w:cs="Arial"/>
                <w:color w:val="000000" w:themeColor="text1"/>
                <w:sz w:val="20"/>
                <w:szCs w:val="20"/>
              </w:rPr>
              <w:t>Re</w:t>
            </w:r>
            <w:r w:rsidR="001543A6">
              <w:rPr>
                <w:rFonts w:cs="Arial"/>
                <w:color w:val="000000" w:themeColor="text1"/>
                <w:sz w:val="20"/>
                <w:szCs w:val="20"/>
              </w:rPr>
              <w:t>sztki cieczy użytkowej należy: -</w:t>
            </w:r>
            <w:r w:rsidR="001543A6" w:rsidRPr="001543A6">
              <w:rPr>
                <w:rFonts w:cs="Arial"/>
                <w:color w:val="000000" w:themeColor="text1"/>
                <w:sz w:val="20"/>
                <w:szCs w:val="20"/>
              </w:rPr>
              <w:t xml:space="preserve"> po uprzednim rozcieńczeniu zużyć na powierzchni, na której przeprowadzono zabieg, jeżeli jest to</w:t>
            </w:r>
            <w:r w:rsidR="004E6B6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1543A6" w:rsidRPr="001543A6">
              <w:rPr>
                <w:rFonts w:cs="Arial"/>
                <w:color w:val="000000" w:themeColor="text1"/>
                <w:sz w:val="20"/>
                <w:szCs w:val="20"/>
              </w:rPr>
              <w:t>możliwe, lub,</w:t>
            </w:r>
          </w:p>
          <w:p w14:paraId="6BA1B7E4" w14:textId="77777777" w:rsidR="001543A6" w:rsidRPr="001543A6" w:rsidRDefault="001543A6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- unieszkodliwić z wykorzystaniem rozwiązań technicznych zapewniających biologiczną degradację</w:t>
            </w:r>
          </w:p>
          <w:p w14:paraId="36188A9C" w14:textId="77777777" w:rsidR="001543A6" w:rsidRPr="001543A6" w:rsidRDefault="001543A6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substancji czynnych środków ochrony roślin, lub,</w:t>
            </w:r>
          </w:p>
          <w:p w14:paraId="668A41FC" w14:textId="77777777" w:rsidR="00C740FA" w:rsidRPr="005D1758" w:rsidRDefault="001543A6" w:rsidP="00DC3EDE">
            <w:pPr>
              <w:rPr>
                <w:rFonts w:cs="Arial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- unieszkodliwić w inny sposób, zgodny z przepisami o odpadach.</w:t>
            </w:r>
          </w:p>
        </w:tc>
      </w:tr>
      <w:tr w:rsidR="00C740FA" w:rsidRPr="005D1758" w14:paraId="5BDDCA5C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16227970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3997A61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Atmosfera (jakość powietrza, gazy cieplarniane)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1F8BA05" w14:textId="77777777" w:rsidR="00C740FA" w:rsidRPr="002F7609" w:rsidRDefault="007B26A5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Brak ryzyka z uwagi lub ryzyko minimalne stosowania w otwartej przestrzeni.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E054966" w14:textId="77777777" w:rsidR="00C740FA" w:rsidRPr="002F7609" w:rsidRDefault="005B1D4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740FA" w:rsidRPr="005D1758" w14:paraId="6C5502BC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66A91272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F35963F" w14:textId="77777777" w:rsidR="00C740FA" w:rsidRPr="002F7609" w:rsidRDefault="00C740FA" w:rsidP="00F37C0C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F7609">
              <w:rPr>
                <w:color w:val="000000" w:themeColor="text1"/>
                <w:sz w:val="18"/>
                <w:szCs w:val="18"/>
              </w:rPr>
              <w:t>Gatunki niebędące przedmiotem zwalczania (roślinność, dzika przyroda, pszczoły i inne owady zapylające, zwierzęta domowe)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5D1F23C" w14:textId="77777777" w:rsidR="00C740FA" w:rsidRPr="00842508" w:rsidRDefault="00017B78" w:rsidP="00B82CB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F1C70">
              <w:rPr>
                <w:rFonts w:cs="Arial"/>
                <w:color w:val="000000" w:themeColor="text1"/>
                <w:sz w:val="20"/>
                <w:szCs w:val="20"/>
              </w:rPr>
              <w:t>Możliwy wpływ na gatunki ni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ebędące przedmiotem zwalczania.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246D1AC" w14:textId="77777777" w:rsidR="005B1D4A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  <w:r w:rsidR="00A075DA" w:rsidRPr="0084250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11E68037" w14:textId="77777777" w:rsidR="001543A6" w:rsidRPr="001543A6" w:rsidRDefault="00884EFD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4EFD">
              <w:rPr>
                <w:rFonts w:cs="Arial"/>
                <w:color w:val="000000" w:themeColor="text1"/>
                <w:sz w:val="20"/>
                <w:szCs w:val="20"/>
              </w:rPr>
              <w:t>Zaleca się stosować środek poza okresami aktywności pszczół oraz innych owadów zapylających.</w:t>
            </w:r>
            <w:r w:rsidR="00A075DA" w:rsidRPr="00842508"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="001543A6" w:rsidRPr="001543A6">
              <w:rPr>
                <w:rFonts w:cs="Arial"/>
                <w:color w:val="000000" w:themeColor="text1"/>
                <w:sz w:val="20"/>
                <w:szCs w:val="20"/>
              </w:rPr>
              <w:t>W celu ochrony organizmów wodnych konieczne jest wyznaczenie strefy ochronnej o szerokości 20 m</w:t>
            </w:r>
          </w:p>
          <w:p w14:paraId="52D17175" w14:textId="77777777" w:rsidR="00C740FA" w:rsidRDefault="001543A6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od zbiorników i cieków wodnych.</w:t>
            </w:r>
          </w:p>
          <w:p w14:paraId="47FA672D" w14:textId="77777777" w:rsidR="00017B78" w:rsidRPr="00842508" w:rsidRDefault="00017B78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17B78">
              <w:rPr>
                <w:rFonts w:cs="Arial"/>
                <w:color w:val="000000" w:themeColor="text1"/>
                <w:sz w:val="20"/>
                <w:szCs w:val="20"/>
              </w:rPr>
              <w:t>W celu ochrony roślin oraz stawonogów niebędących celem działania środka konieczne jest wyznaczenie strefy ochronnej o szerokości 1 m od terenów nieużytkowanych rolniczo w odnowieniach, zalesieniach oraz plantacjach nasiennych drzew leśnych.</w:t>
            </w:r>
          </w:p>
        </w:tc>
      </w:tr>
      <w:tr w:rsidR="00C740FA" w:rsidRPr="005D1758" w14:paraId="3EA19701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1456DAE3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3180237" w14:textId="77777777" w:rsidR="00C740FA" w:rsidRPr="005D1758" w:rsidRDefault="00C740FA" w:rsidP="002531D4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Leśne użytki uboczne niedrzewne (według FSC-STD-01-001 V5-2, Zasady i kryteria FSC, kryterium 5.1)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B19EA53" w14:textId="77777777" w:rsidR="00C740FA" w:rsidRPr="00842508" w:rsidRDefault="003B1580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C3F2CAD" w14:textId="77777777" w:rsidR="00C740FA" w:rsidRPr="00842508" w:rsidRDefault="003B1580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3B1580" w:rsidRPr="005D1758" w14:paraId="46D6F35C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582AD701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E8732CD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Szczególne Wartości Ochronne, HCV (zwłaszcza HCV 1-4)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3B4E2D4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dla HCV 1-4</w:t>
            </w:r>
            <w:r w:rsidR="00AB3441" w:rsidRPr="00842508">
              <w:rPr>
                <w:rFonts w:cs="Arial"/>
                <w:color w:val="000000" w:themeColor="text1"/>
                <w:sz w:val="20"/>
                <w:szCs w:val="20"/>
              </w:rPr>
              <w:t xml:space="preserve"> lub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D6E9855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</w:tc>
      </w:tr>
      <w:tr w:rsidR="003B1580" w:rsidRPr="005D1758" w14:paraId="42703C31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3F42DB47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2E2F7E2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Krajobraz (estetyka, oddziaływania skumulowane)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84C3858" w14:textId="77777777" w:rsidR="003B1580" w:rsidRPr="00842508" w:rsidRDefault="002F7609" w:rsidP="002F760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F1A7E5B" w14:textId="77777777" w:rsidR="003B1580" w:rsidRDefault="00D61D06" w:rsidP="002F760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Nie dotyczy.</w:t>
            </w:r>
          </w:p>
          <w:p w14:paraId="366E599A" w14:textId="77777777" w:rsidR="00D61D06" w:rsidRPr="00842508" w:rsidRDefault="00D61D06" w:rsidP="00DC3ED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Środek używany jest na uprawach leśnych gdzie zgodnie z UOL art.26 pkt.2 </w:t>
            </w:r>
            <w:proofErr w:type="spellStart"/>
            <w:r w:rsidR="00DC3EDE">
              <w:rPr>
                <w:rFonts w:cs="Arial"/>
                <w:color w:val="000000" w:themeColor="text1"/>
                <w:sz w:val="20"/>
                <w:szCs w:val="20"/>
              </w:rPr>
              <w:t>p.pkt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1 </w:t>
            </w:r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>Stałym zakazem ws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tępu objęte są lasy stanowiące </w:t>
            </w:r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>uprawy leśne do 4 m wysokości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3B1580" w:rsidRPr="005D1758" w14:paraId="6E57D048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66C1F612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A09FB50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Usługi ekosystemowe (woda, gleba, sekwestracja dwutlenku węgla,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BFAFFAF" w14:textId="77777777" w:rsidR="003B1580" w:rsidRPr="00842508" w:rsidRDefault="002F76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2FAB53" w14:textId="77777777" w:rsidR="00884EFD" w:rsidRPr="00D61D06" w:rsidRDefault="00D61D06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>Nie dotyczy.</w:t>
            </w:r>
          </w:p>
          <w:p w14:paraId="5ACC6552" w14:textId="77777777" w:rsidR="003B1580" w:rsidRPr="00842508" w:rsidRDefault="00D61D06" w:rsidP="00DC3ED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61D06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 xml:space="preserve">Środek używany jest na uprawach leśnych gdzie zgodnie z UOL art.26 pkt.2 </w:t>
            </w:r>
            <w:proofErr w:type="spellStart"/>
            <w:r w:rsidR="00DC3EDE" w:rsidRPr="00D61D06">
              <w:rPr>
                <w:rFonts w:cs="Arial"/>
                <w:color w:val="000000" w:themeColor="text1"/>
                <w:sz w:val="20"/>
                <w:szCs w:val="20"/>
              </w:rPr>
              <w:t>p.pkt</w:t>
            </w:r>
            <w:proofErr w:type="spellEnd"/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 xml:space="preserve"> 1 Stałym zakazem wstępu objęte są lasy stanowiące uprawy leśne do 4 m wysokości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3B1580" w:rsidRPr="005D1758" w14:paraId="0414E17C" w14:textId="77777777" w:rsidTr="00CC29B1">
        <w:trPr>
          <w:trHeight w:val="567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39DE3DA9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lastRenderedPageBreak/>
              <w:t xml:space="preserve">Społeczne </w:t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DF05EA1" w14:textId="77777777" w:rsidR="003B1580" w:rsidRPr="005D1758" w:rsidRDefault="003B1580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 xml:space="preserve">Szczególne Wartości Ochronne, HCV (zwłaszcza </w:t>
            </w:r>
            <w:r w:rsidR="00913C09" w:rsidRPr="005D1758">
              <w:rPr>
                <w:sz w:val="18"/>
                <w:szCs w:val="18"/>
              </w:rPr>
              <w:t>HCV</w:t>
            </w:r>
            <w:r w:rsidRPr="005D1758">
              <w:rPr>
                <w:sz w:val="18"/>
                <w:szCs w:val="18"/>
              </w:rPr>
              <w:t xml:space="preserve"> 5-6)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96AFEFC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 xml:space="preserve">Brak ryzyka dla </w:t>
            </w:r>
            <w:r w:rsidRPr="00842508">
              <w:rPr>
                <w:color w:val="000000" w:themeColor="text1"/>
                <w:sz w:val="18"/>
                <w:szCs w:val="18"/>
              </w:rPr>
              <w:t>HCV 5-6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8C4E1BE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3B1580" w:rsidRPr="005D1758" w14:paraId="22E75160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301B1303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9B52013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Zdrowie (płodność, zdrowie reprodukcyjne, zdrowie układu oddechowego, problemy dermatologiczne, neurologiczne i żołądkowo-jelitowe, nowotwory i zaburzenia równowagi hormonalnej);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49C4567" w14:textId="77777777" w:rsidR="003B1580" w:rsidRPr="00842508" w:rsidRDefault="002F76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A1F6BB8" w14:textId="77777777" w:rsidR="00D61D06" w:rsidRDefault="002E07FF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  <w:r w:rsidR="002F7609" w:rsidRPr="0084250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72742983" w14:textId="77777777" w:rsidR="00884EFD" w:rsidRPr="00D61D06" w:rsidRDefault="00884EFD" w:rsidP="00884EF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4EFD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 strony, które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84EFD">
              <w:rPr>
                <w:rFonts w:cs="Arial"/>
                <w:color w:val="000000" w:themeColor="text1"/>
                <w:sz w:val="20"/>
                <w:szCs w:val="20"/>
              </w:rPr>
              <w:t>mogą być narażone na znoszenie cieczy roboczej i które zwróciły się o taka informację.</w:t>
            </w:r>
          </w:p>
          <w:p w14:paraId="6D698537" w14:textId="77777777" w:rsidR="00D61D06" w:rsidRDefault="00DC3EDE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Środek używany jest</w:t>
            </w:r>
            <w:r w:rsidR="00D61D06" w:rsidRPr="00D61D06">
              <w:rPr>
                <w:rFonts w:cs="Arial"/>
                <w:color w:val="000000" w:themeColor="text1"/>
                <w:sz w:val="20"/>
                <w:szCs w:val="20"/>
              </w:rPr>
              <w:t xml:space="preserve"> na uprawach leśnych gdzie zgodnie z UOL art.26 pkt.2 </w:t>
            </w:r>
            <w:proofErr w:type="spellStart"/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>p.pkt</w:t>
            </w:r>
            <w:proofErr w:type="spellEnd"/>
            <w:r w:rsidR="00D61D06" w:rsidRPr="00D61D06">
              <w:rPr>
                <w:rFonts w:cs="Arial"/>
                <w:color w:val="000000" w:themeColor="text1"/>
                <w:sz w:val="20"/>
                <w:szCs w:val="20"/>
              </w:rPr>
              <w:t xml:space="preserve"> 1 Stałym zakazem wstępu objęte są lasy stanowiące uprawy leśne do 4 m wysokości</w:t>
            </w:r>
            <w:r w:rsidR="00D61D0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4288E4A" w14:textId="77777777" w:rsidR="00842508" w:rsidRPr="00842508" w:rsidRDefault="00842508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wchodzić do czasu całkowitego wyschnięcia cieczy użytkowej na powierzchni roślin.</w:t>
            </w:r>
          </w:p>
        </w:tc>
      </w:tr>
      <w:tr w:rsidR="003B1580" w:rsidRPr="005D1758" w14:paraId="3990C6EC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1F2994F6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94466FA" w14:textId="77777777" w:rsidR="003B1580" w:rsidRPr="005D1758" w:rsidRDefault="003B1580" w:rsidP="003B1580">
            <w:pPr>
              <w:jc w:val="center"/>
              <w:rPr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Dobrostan</w:t>
            </w:r>
          </w:p>
          <w:p w14:paraId="702F54D7" w14:textId="77777777" w:rsidR="00913C09" w:rsidRPr="005D1758" w:rsidRDefault="00913C09" w:rsidP="003B158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2D6BC02" w14:textId="77777777" w:rsidR="00CC29B1" w:rsidRPr="005D4013" w:rsidRDefault="00CC29B1" w:rsidP="00CC29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D40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Najważniejsze zalety:</w:t>
            </w:r>
          </w:p>
          <w:p w14:paraId="62F774F6" w14:textId="77777777" w:rsidR="00D61D06" w:rsidRPr="005D4013" w:rsidRDefault="00D61D06" w:rsidP="00D61D0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D40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Środek działa układowo zwalczając choroby grzybowe siewek i sadzonek drzew leśnych. </w:t>
            </w:r>
          </w:p>
          <w:p w14:paraId="4A4EF235" w14:textId="77777777" w:rsidR="003B1580" w:rsidRPr="00842508" w:rsidRDefault="00D61D06" w:rsidP="005D401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D40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Aspekt ekonomiczny: Minimalna stosowana ilość substancji aktywnej pozwala na efektywne działanie, na ograniczonej powierzchni użycia.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1AECA39" w14:textId="77777777" w:rsidR="003B1580" w:rsidRPr="00842508" w:rsidRDefault="00CC29B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</w:tc>
      </w:tr>
      <w:tr w:rsidR="00913C09" w:rsidRPr="005D1758" w14:paraId="66CC5B71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022C19E4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0E9DE3F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Żywność i woda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7000D59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80D06D8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913C09" w:rsidRPr="005D1758" w14:paraId="3A7ECAB5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48DCE920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5DE839C1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Infrastruktura społeczna; (szkoły i szpitale, infrastruktura rekreacyjna, infrastruktura przyległa do jednostki gospodarowania)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0FC85BE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2A3A1B0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913C09" w:rsidRPr="005D1758" w14:paraId="43A73AC4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2D335F91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6E6010A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Rentowność (rolnictwo, zwierzęta hodowlane,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0C29B6C" w14:textId="77777777" w:rsidR="00913C09" w:rsidRPr="00842508" w:rsidRDefault="00842508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4D16051" w14:textId="77777777" w:rsidR="00842508" w:rsidRDefault="001950D6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Zaleca się stosować środek poza okresami aktywności pszczół oraz innych owadów zapylających.</w:t>
            </w:r>
          </w:p>
          <w:p w14:paraId="0F68D45A" w14:textId="77777777" w:rsidR="001950D6" w:rsidRPr="00842508" w:rsidRDefault="001950D6" w:rsidP="001950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 strony, które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mogą być narażone na znoszenie cieczy roboczej i które zwróciły się o taka informację.</w:t>
            </w:r>
          </w:p>
        </w:tc>
      </w:tr>
      <w:tr w:rsidR="00913C09" w:rsidRPr="005D1758" w14:paraId="503FCDC4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01864248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6A965CD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Prawa (ustanowione i zwyczajowe)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BB3324D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zgodnie z prawem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49DAE98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</w:tc>
      </w:tr>
      <w:tr w:rsidR="00913C09" w:rsidRPr="005D1758" w14:paraId="52F18FD0" w14:textId="77777777" w:rsidTr="00CC29B1">
        <w:trPr>
          <w:trHeight w:val="567"/>
        </w:trPr>
        <w:tc>
          <w:tcPr>
            <w:tcW w:w="1411" w:type="dxa"/>
            <w:shd w:val="clear" w:color="auto" w:fill="488FB4"/>
            <w:vAlign w:val="center"/>
          </w:tcPr>
          <w:p w14:paraId="3AC5BC28" w14:textId="77777777" w:rsidR="00913C09" w:rsidRPr="005D1758" w:rsidRDefault="00913C09" w:rsidP="00913C09">
            <w:pPr>
              <w:spacing w:line="48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ED03035" w14:textId="77777777" w:rsidR="00913C09" w:rsidRPr="00842508" w:rsidRDefault="00913C09" w:rsidP="00913C09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842508">
              <w:rPr>
                <w:color w:val="000000" w:themeColor="text1"/>
                <w:sz w:val="18"/>
                <w:szCs w:val="18"/>
              </w:rPr>
              <w:t>Pozostałe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3D64DC1" w14:textId="77777777" w:rsidR="00017B78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F1C70">
              <w:rPr>
                <w:rFonts w:cs="Arial"/>
                <w:color w:val="000000" w:themeColor="text1"/>
                <w:sz w:val="20"/>
                <w:szCs w:val="20"/>
              </w:rPr>
              <w:t xml:space="preserve">Wystąpienie ryzyka może nastąpić w przypadku nieprawidłowego </w:t>
            </w:r>
            <w:r w:rsidR="00EE416A">
              <w:rPr>
                <w:rFonts w:cs="Arial"/>
                <w:color w:val="000000" w:themeColor="text1"/>
                <w:sz w:val="20"/>
                <w:szCs w:val="20"/>
              </w:rPr>
              <w:t>przechowywania,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stosowania</w:t>
            </w:r>
            <w:r w:rsidR="00EE416A">
              <w:rPr>
                <w:rFonts w:cs="Arial"/>
                <w:color w:val="000000" w:themeColor="text1"/>
                <w:sz w:val="20"/>
                <w:szCs w:val="20"/>
              </w:rPr>
              <w:t xml:space="preserve"> czy postepowania z odpadami.</w:t>
            </w:r>
          </w:p>
          <w:p w14:paraId="6F719930" w14:textId="77777777" w:rsidR="00913C09" w:rsidRPr="00842508" w:rsidRDefault="00913C09" w:rsidP="001950D6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40EA97D" w14:textId="77777777" w:rsidR="00913C09" w:rsidRDefault="003B4A5B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  <w:p w14:paraId="718925B4" w14:textId="77777777" w:rsidR="00017B78" w:rsidRPr="00842508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WARUNKI PRZECHOWYWANIA I BEZPI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ECZNEGO USUWANIA ŚRODKA OCHRONY </w:t>
            </w: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ROŚLIN I OPAKOWANIA</w:t>
            </w:r>
          </w:p>
          <w:p w14:paraId="35786FFD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Chronić przed dziećmi.</w:t>
            </w:r>
          </w:p>
          <w:p w14:paraId="686D11A7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Środek ochrony roślin przechowywać:</w:t>
            </w:r>
          </w:p>
          <w:p w14:paraId="3B4B1E37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- w miejscach lub obiektach, w których zastosowano odpowiednie rozwiązania zabezpieczające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przed skażeniem środowiska oraz dostępem osób trzecich,</w:t>
            </w:r>
          </w:p>
          <w:p w14:paraId="4BD3090F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- w oryginalnych opakowaniach, w sposób uniemożliwiający kontakt z żywnością, napojami lub</w:t>
            </w:r>
          </w:p>
          <w:p w14:paraId="7A0F5F8F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paszą.</w:t>
            </w:r>
          </w:p>
          <w:p w14:paraId="3AD1EC5B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Przechowywać pod zamknięciem.</w:t>
            </w:r>
          </w:p>
          <w:p w14:paraId="22653F32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Przechowywać z dala od źródeł ciepła.</w:t>
            </w:r>
          </w:p>
          <w:p w14:paraId="2136165E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Stosować wyłącznie w dobrze wentylowanych pomieszczeniach.</w:t>
            </w:r>
          </w:p>
          <w:p w14:paraId="3304C647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Przechowywać wyłącznie w oryginalnym opakowaniu w temperaturze ni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 niższej niż 0°C i nie wyższej </w:t>
            </w: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niż 30°C.</w:t>
            </w:r>
          </w:p>
          <w:p w14:paraId="59375920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Zabrania się wykorzystywania opróżnionych opakowań po środkach ochrony roślin do innych celów.</w:t>
            </w:r>
          </w:p>
          <w:p w14:paraId="3B62F778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Niewykorzystany środek przekazać do podmiotu upr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awnionego do odbierania odpadów </w:t>
            </w: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niebezpiecznych.</w:t>
            </w:r>
          </w:p>
          <w:p w14:paraId="5EBC7E13" w14:textId="77777777" w:rsidR="00017B78" w:rsidRPr="001950D6" w:rsidRDefault="00017B78" w:rsidP="00017B7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Opróżnione opakowania po środku zwrócić do sprzedawcy środków ochrony roślin będących środkami</w:t>
            </w:r>
          </w:p>
          <w:p w14:paraId="003D83AF" w14:textId="77777777" w:rsidR="00017B78" w:rsidRPr="005D1758" w:rsidRDefault="00017B78" w:rsidP="00017B78">
            <w:pPr>
              <w:rPr>
                <w:rFonts w:cs="Arial"/>
                <w:color w:val="FF0000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niebezpiecznymi.</w:t>
            </w:r>
          </w:p>
        </w:tc>
      </w:tr>
    </w:tbl>
    <w:p w14:paraId="18270418" w14:textId="77777777" w:rsidR="00552E01" w:rsidRPr="005D1758" w:rsidRDefault="00552E01" w:rsidP="00F207AC">
      <w:pPr>
        <w:rPr>
          <w:b/>
          <w:bCs/>
        </w:rPr>
        <w:sectPr w:rsidR="00552E01" w:rsidRPr="005D1758" w:rsidSect="003B4A5B">
          <w:pgSz w:w="16838" w:h="11906" w:orient="landscape"/>
          <w:pgMar w:top="709" w:right="1417" w:bottom="1135" w:left="1417" w:header="708" w:footer="708" w:gutter="0"/>
          <w:cols w:space="708"/>
          <w:docGrid w:linePitch="360"/>
        </w:sectPr>
      </w:pPr>
    </w:p>
    <w:p w14:paraId="2BD4D34E" w14:textId="77777777" w:rsidR="007029E2" w:rsidRPr="005D1758" w:rsidRDefault="007029E2" w:rsidP="0046726D">
      <w:pPr>
        <w:rPr>
          <w:b/>
          <w:bCs/>
        </w:rPr>
      </w:pPr>
      <w:r w:rsidRPr="005D1758">
        <w:rPr>
          <w:b/>
          <w:bCs/>
        </w:rPr>
        <w:lastRenderedPageBreak/>
        <w:t>Część III</w:t>
      </w:r>
    </w:p>
    <w:p w14:paraId="1EBB0EDC" w14:textId="77777777" w:rsidR="007752A1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 xml:space="preserve">Tabela 2. Ramy oceny ryzyka środowiskowego i społecznego (ORŚIS) </w:t>
      </w:r>
    </w:p>
    <w:p w14:paraId="0935D841" w14:textId="77777777" w:rsidR="007029E2" w:rsidRPr="005D1758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>(</w:t>
      </w:r>
      <w:r w:rsidR="00F37C0C" w:rsidRPr="005D1758">
        <w:rPr>
          <w:b/>
          <w:bCs/>
        </w:rPr>
        <w:t xml:space="preserve">część </w:t>
      </w:r>
      <w:r w:rsidR="006E5ECF" w:rsidRPr="005D1758">
        <w:rPr>
          <w:b/>
          <w:bCs/>
        </w:rPr>
        <w:t xml:space="preserve">dla posiadacza certyfikatu, jednostki gospodarowania </w:t>
      </w:r>
      <w:r w:rsidRPr="005D1758">
        <w:rPr>
          <w:b/>
          <w:bCs/>
        </w:rPr>
        <w:t>)</w:t>
      </w:r>
    </w:p>
    <w:tbl>
      <w:tblPr>
        <w:tblStyle w:val="Tabela-Siatk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1562"/>
        <w:gridCol w:w="1569"/>
        <w:gridCol w:w="2182"/>
        <w:gridCol w:w="1982"/>
        <w:gridCol w:w="2911"/>
      </w:tblGrid>
      <w:tr w:rsidR="006E5ECF" w:rsidRPr="005D1758" w14:paraId="39428943" w14:textId="77777777" w:rsidTr="007752A1">
        <w:tc>
          <w:tcPr>
            <w:tcW w:w="4248" w:type="dxa"/>
          </w:tcPr>
          <w:p w14:paraId="71B5F048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ZADANIA</w:t>
            </w:r>
          </w:p>
        </w:tc>
        <w:tc>
          <w:tcPr>
            <w:tcW w:w="1562" w:type="dxa"/>
          </w:tcPr>
          <w:p w14:paraId="6BCFDC9C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PODMIOT ODPOWIEDZIALNY</w:t>
            </w:r>
          </w:p>
        </w:tc>
        <w:tc>
          <w:tcPr>
            <w:tcW w:w="1569" w:type="dxa"/>
          </w:tcPr>
          <w:p w14:paraId="204F4097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RODZAJ OCENIANYCH PESTYCYDÓW</w:t>
            </w:r>
          </w:p>
        </w:tc>
        <w:tc>
          <w:tcPr>
            <w:tcW w:w="2182" w:type="dxa"/>
          </w:tcPr>
          <w:p w14:paraId="1B6D9455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CEL</w:t>
            </w:r>
          </w:p>
        </w:tc>
        <w:tc>
          <w:tcPr>
            <w:tcW w:w="1982" w:type="dxa"/>
          </w:tcPr>
          <w:p w14:paraId="55E0528D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CZĘSTOTLIWOŚĆ</w:t>
            </w:r>
          </w:p>
        </w:tc>
        <w:tc>
          <w:tcPr>
            <w:tcW w:w="2911" w:type="dxa"/>
          </w:tcPr>
          <w:p w14:paraId="19CBC49D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WYMAGANIA DOTYCZĄCE ZAANGAŻOWANIA</w:t>
            </w:r>
          </w:p>
        </w:tc>
      </w:tr>
      <w:tr w:rsidR="006E5ECF" w:rsidRPr="005D1758" w14:paraId="2182B3B3" w14:textId="77777777" w:rsidTr="007752A1">
        <w:tc>
          <w:tcPr>
            <w:tcW w:w="14454" w:type="dxa"/>
            <w:gridSpan w:val="6"/>
            <w:shd w:val="clear" w:color="auto" w:fill="488FB4"/>
          </w:tcPr>
          <w:p w14:paraId="48989B18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jednostki gospodarowania</w:t>
            </w:r>
          </w:p>
        </w:tc>
      </w:tr>
      <w:tr w:rsidR="00964509" w:rsidRPr="005D1758" w14:paraId="415938B6" w14:textId="77777777" w:rsidTr="00B44E5F">
        <w:trPr>
          <w:trHeight w:val="4495"/>
        </w:trPr>
        <w:tc>
          <w:tcPr>
            <w:tcW w:w="4248" w:type="dxa"/>
          </w:tcPr>
          <w:p w14:paraId="2E34948C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Przeprowadzenie oceny ryzyka w ramach systemu zintegrowanej </w:t>
            </w:r>
            <w:bookmarkStart w:id="0" w:name="_Hlk531702827"/>
            <w:r w:rsidRPr="00B44E5F">
              <w:rPr>
                <w:sz w:val="20"/>
                <w:szCs w:val="20"/>
              </w:rPr>
              <w:t>ochrony przed szkodnikami</w:t>
            </w:r>
            <w:r w:rsidR="00B44E5F">
              <w:rPr>
                <w:sz w:val="20"/>
                <w:szCs w:val="20"/>
              </w:rPr>
              <w:t xml:space="preserve"> </w:t>
            </w:r>
            <w:r w:rsidRPr="00B44E5F">
              <w:rPr>
                <w:sz w:val="20"/>
                <w:szCs w:val="20"/>
              </w:rPr>
              <w:t>zgodnie ze skalą, intensywnością i ryzykiem (w tym dla pestycydów stosowanych w obiektach lub do celów badawczych)</w:t>
            </w:r>
            <w:bookmarkEnd w:id="0"/>
            <w:r w:rsidRPr="00B44E5F">
              <w:rPr>
                <w:sz w:val="20"/>
                <w:szCs w:val="20"/>
              </w:rPr>
              <w:t>.</w:t>
            </w:r>
          </w:p>
          <w:p w14:paraId="32339361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PC mogą używać wzoru ORŚIS do wypełnienia tej oceny na poziomie Jednostki Gospodarowania lub wykazać, że wymogi ORŚIS zostały spełnione, jeśli w firmie są wdrożone inne systemy w celu spełnienia wymogów (bez wypełniania wzoru). Na podobnych warunkach, oceny ORŚIS mogą być przenoszone z jednego posiadacza certyfikatu na innego na poziomie krajowym.</w:t>
            </w:r>
          </w:p>
          <w:p w14:paraId="7FA9C5E1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Zachowanie zgodności z obowiązującymi międzynarodowymi i krajowymi wskaźnikami i progami dotyczącymi stosowania WNP.</w:t>
            </w:r>
          </w:p>
        </w:tc>
        <w:tc>
          <w:tcPr>
            <w:tcW w:w="1562" w:type="dxa"/>
          </w:tcPr>
          <w:p w14:paraId="2F193A2E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Posiadacze certyfikatów (PC)</w:t>
            </w:r>
          </w:p>
        </w:tc>
        <w:tc>
          <w:tcPr>
            <w:tcW w:w="1569" w:type="dxa"/>
          </w:tcPr>
          <w:p w14:paraId="75D9D0D9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Wszystkie pestycydy syntetyczne</w:t>
            </w:r>
          </w:p>
          <w:p w14:paraId="402E0261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</w:p>
          <w:p w14:paraId="401E0C4B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5BCA76E8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Określenie najmniej ryzykownej opcji zwalczania szkodników, chwastów lub chorób.</w:t>
            </w:r>
          </w:p>
          <w:p w14:paraId="01407E13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Określenie dodatkowych lub szczególnych środków łagodzących wymaganych do kontrolowania ryzyka typowego dla RDLP/nadleśnictwa.</w:t>
            </w:r>
          </w:p>
          <w:p w14:paraId="22313F93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Wsparcie Grupy Opracowującej Standard dla ORŚIS jeśli używany jest wzór ORŚIS.</w:t>
            </w:r>
          </w:p>
        </w:tc>
        <w:tc>
          <w:tcPr>
            <w:tcW w:w="1982" w:type="dxa"/>
          </w:tcPr>
          <w:p w14:paraId="5660A55F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Przegląd i rewizja w razie potrzeby, w pięcioletnim cyklu certyfikacji.</w:t>
            </w:r>
          </w:p>
        </w:tc>
        <w:tc>
          <w:tcPr>
            <w:tcW w:w="2911" w:type="dxa"/>
          </w:tcPr>
          <w:p w14:paraId="54B510FA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Zgodnie z wymogami dotyczącymi zaangażowania interesariuszy w spełnianie odpowiedniego standardu krajowego.  </w:t>
            </w:r>
          </w:p>
        </w:tc>
      </w:tr>
      <w:tr w:rsidR="006E5ECF" w:rsidRPr="005D1758" w14:paraId="634DBD77" w14:textId="77777777" w:rsidTr="007752A1">
        <w:tc>
          <w:tcPr>
            <w:tcW w:w="14454" w:type="dxa"/>
            <w:gridSpan w:val="6"/>
            <w:shd w:val="clear" w:color="auto" w:fill="488FB4"/>
          </w:tcPr>
          <w:p w14:paraId="16E17B8E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oddziału</w:t>
            </w:r>
          </w:p>
        </w:tc>
      </w:tr>
      <w:tr w:rsidR="00964509" w:rsidRPr="005D1758" w14:paraId="0CA949C9" w14:textId="77777777" w:rsidTr="007752A1">
        <w:tc>
          <w:tcPr>
            <w:tcW w:w="4248" w:type="dxa"/>
          </w:tcPr>
          <w:p w14:paraId="386A77FD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Włączenie wyników oceny ORŚIS do planów operacyjnych lub zaleceń. </w:t>
            </w:r>
          </w:p>
          <w:p w14:paraId="678A051E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Wdrożenie środków łagodzących.</w:t>
            </w:r>
          </w:p>
        </w:tc>
        <w:tc>
          <w:tcPr>
            <w:tcW w:w="1562" w:type="dxa"/>
          </w:tcPr>
          <w:p w14:paraId="34F3326E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Posiadacze certyfikatów (PC)</w:t>
            </w:r>
          </w:p>
        </w:tc>
        <w:tc>
          <w:tcPr>
            <w:tcW w:w="1569" w:type="dxa"/>
          </w:tcPr>
          <w:p w14:paraId="70E27A54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Wszystkie pestycydy syntetyczne</w:t>
            </w:r>
          </w:p>
        </w:tc>
        <w:tc>
          <w:tcPr>
            <w:tcW w:w="2182" w:type="dxa"/>
          </w:tcPr>
          <w:p w14:paraId="3B7BD696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Kontrola ryzyka podczas stosowania pestycydów syntetycznych.</w:t>
            </w:r>
          </w:p>
          <w:p w14:paraId="18E40BE4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14:paraId="7FA8E3AB" w14:textId="77777777" w:rsidR="00964509" w:rsidRPr="00B44E5F" w:rsidRDefault="00964509" w:rsidP="00964509">
            <w:pPr>
              <w:widowControl w:val="0"/>
              <w:spacing w:before="80"/>
              <w:rPr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Związana z czasem trwania operacji.</w:t>
            </w:r>
          </w:p>
          <w:p w14:paraId="0D332005" w14:textId="77777777" w:rsidR="00964509" w:rsidRPr="00B44E5F" w:rsidRDefault="00964509" w:rsidP="00964509">
            <w:pPr>
              <w:widowControl w:val="0"/>
              <w:spacing w:before="80"/>
              <w:rPr>
                <w:sz w:val="20"/>
                <w:szCs w:val="20"/>
              </w:rPr>
            </w:pPr>
          </w:p>
          <w:p w14:paraId="7D600DE5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</w:p>
        </w:tc>
        <w:tc>
          <w:tcPr>
            <w:tcW w:w="2911" w:type="dxa"/>
          </w:tcPr>
          <w:p w14:paraId="6901FF3A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Zgodnie z wymogami dotyczącymi zaangażowania interesariuszy w spełnianie  odpowiedniego standardu krajowego.  </w:t>
            </w:r>
          </w:p>
        </w:tc>
      </w:tr>
    </w:tbl>
    <w:p w14:paraId="55806535" w14:textId="77777777" w:rsidR="003713D3" w:rsidRDefault="003713D3" w:rsidP="0046726D">
      <w:pPr>
        <w:rPr>
          <w:b/>
          <w:bCs/>
        </w:rPr>
        <w:sectPr w:rsidR="003713D3" w:rsidSect="007029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B77D25" w14:textId="77777777" w:rsidR="003713D3" w:rsidRDefault="003713D3" w:rsidP="0046726D">
      <w:pPr>
        <w:rPr>
          <w:b/>
          <w:bCs/>
        </w:rPr>
      </w:pPr>
      <w:r>
        <w:rPr>
          <w:b/>
          <w:bCs/>
        </w:rPr>
        <w:lastRenderedPageBreak/>
        <w:t>Załączniki:</w:t>
      </w:r>
    </w:p>
    <w:p w14:paraId="4F48B494" w14:textId="77777777" w:rsidR="003713D3" w:rsidRDefault="003713D3" w:rsidP="0046726D">
      <w:pPr>
        <w:rPr>
          <w:b/>
          <w:bCs/>
        </w:rPr>
      </w:pPr>
      <w:r>
        <w:rPr>
          <w:b/>
          <w:bCs/>
        </w:rPr>
        <w:t>ETYKIETA STOSOWANIA ŚRODKA OCHRONY ROŚLIN</w:t>
      </w:r>
    </w:p>
    <w:p w14:paraId="33447E30" w14:textId="77777777" w:rsidR="003713D3" w:rsidRDefault="003713D3" w:rsidP="0046726D">
      <w:pPr>
        <w:rPr>
          <w:b/>
          <w:bCs/>
        </w:rPr>
      </w:pPr>
      <w:r>
        <w:rPr>
          <w:b/>
          <w:bCs/>
        </w:rPr>
        <w:t xml:space="preserve">LISTA POWIERZCHNI LEŚNYCH OBJETYCH STOWOWANIEM ŚRODKA CHEMICZNEGO </w:t>
      </w:r>
    </w:p>
    <w:p w14:paraId="0B07E1EB" w14:textId="77777777" w:rsidR="009D66F8" w:rsidRPr="00162040" w:rsidRDefault="009D66F8" w:rsidP="009D66F8">
      <w:pPr>
        <w:jc w:val="both"/>
      </w:pPr>
      <w:r w:rsidRPr="00162040">
        <w:t>Precyzyjne zaplanowanie czynności, nie jest możliwe, głównie ze względu na to, że trudno jest przewidzieć warunki meteorologiczne roku następnego (budowa planów gospodarczych rozpoczyna się w czerwcu roku poprzedniego) planowane dane są danymi szacunkowymi. Ostateczną decyzję o rozpoczęciu prac na danej pozycji podejmuje się wyłącznie na podstawie aktualnej sytuacji stwierdzonej na gruncie.</w:t>
      </w:r>
    </w:p>
    <w:p w14:paraId="4872AC31" w14:textId="77777777" w:rsidR="009D66F8" w:rsidRPr="00162040" w:rsidRDefault="009D66F8" w:rsidP="009D66F8">
      <w:pPr>
        <w:jc w:val="both"/>
      </w:pPr>
      <w:r w:rsidRPr="00162040">
        <w:t>W związku z powyższym powierzchnie te powinny być aktualizowane w zależności od potrzeb stanowiąc wykaz faktycznej lokalizacji wykonanych zabiegu.</w:t>
      </w:r>
    </w:p>
    <w:p w14:paraId="7244BA00" w14:textId="77777777" w:rsidR="009D66F8" w:rsidRDefault="009D66F8" w:rsidP="009D66F8">
      <w:pPr>
        <w:rPr>
          <w:b/>
          <w:bCs/>
        </w:rPr>
      </w:pPr>
      <w:r>
        <w:rPr>
          <w:b/>
          <w:bCs/>
        </w:rPr>
        <w:t>Grzegorz Młynar</w:t>
      </w:r>
    </w:p>
    <w:p w14:paraId="65A9CAE8" w14:textId="77777777" w:rsidR="00907C66" w:rsidRDefault="00907C66" w:rsidP="0046726D">
      <w:pPr>
        <w:rPr>
          <w:b/>
          <w:bCs/>
        </w:rPr>
      </w:pPr>
    </w:p>
    <w:sectPr w:rsidR="00907C66" w:rsidSect="0037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A894" w14:textId="77777777" w:rsidR="00A826B9" w:rsidRDefault="00A826B9" w:rsidP="00552E01">
      <w:pPr>
        <w:spacing w:after="0" w:line="240" w:lineRule="auto"/>
      </w:pPr>
      <w:r>
        <w:separator/>
      </w:r>
    </w:p>
  </w:endnote>
  <w:endnote w:type="continuationSeparator" w:id="0">
    <w:p w14:paraId="27DEA257" w14:textId="77777777" w:rsidR="00A826B9" w:rsidRDefault="00A826B9" w:rsidP="0055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5F03" w14:textId="77777777" w:rsidR="00A826B9" w:rsidRDefault="00A826B9" w:rsidP="00552E01">
      <w:pPr>
        <w:spacing w:after="0" w:line="240" w:lineRule="auto"/>
      </w:pPr>
      <w:r>
        <w:separator/>
      </w:r>
    </w:p>
  </w:footnote>
  <w:footnote w:type="continuationSeparator" w:id="0">
    <w:p w14:paraId="6AC4253F" w14:textId="77777777" w:rsidR="00A826B9" w:rsidRDefault="00A826B9" w:rsidP="0055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12C"/>
    <w:multiLevelType w:val="hybridMultilevel"/>
    <w:tmpl w:val="1898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6456"/>
    <w:multiLevelType w:val="hybridMultilevel"/>
    <w:tmpl w:val="6D0C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4D9D"/>
    <w:multiLevelType w:val="hybridMultilevel"/>
    <w:tmpl w:val="904AF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5324"/>
    <w:multiLevelType w:val="hybridMultilevel"/>
    <w:tmpl w:val="CEFA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A4387"/>
    <w:multiLevelType w:val="hybridMultilevel"/>
    <w:tmpl w:val="E8C8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25525"/>
    <w:multiLevelType w:val="hybridMultilevel"/>
    <w:tmpl w:val="7344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52A4A"/>
    <w:multiLevelType w:val="hybridMultilevel"/>
    <w:tmpl w:val="1A4894DC"/>
    <w:lvl w:ilvl="0" w:tplc="A0160A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C313E"/>
    <w:multiLevelType w:val="hybridMultilevel"/>
    <w:tmpl w:val="B7F817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A"/>
    <w:rsid w:val="00017B78"/>
    <w:rsid w:val="000221E8"/>
    <w:rsid w:val="00024B98"/>
    <w:rsid w:val="00045D4C"/>
    <w:rsid w:val="0006615E"/>
    <w:rsid w:val="00070E92"/>
    <w:rsid w:val="00071432"/>
    <w:rsid w:val="00080157"/>
    <w:rsid w:val="0009580C"/>
    <w:rsid w:val="000B483A"/>
    <w:rsid w:val="000D3556"/>
    <w:rsid w:val="000F0B2F"/>
    <w:rsid w:val="000F5E5E"/>
    <w:rsid w:val="00122211"/>
    <w:rsid w:val="00127E96"/>
    <w:rsid w:val="001536B1"/>
    <w:rsid w:val="001543A6"/>
    <w:rsid w:val="00160776"/>
    <w:rsid w:val="00162FCB"/>
    <w:rsid w:val="00173151"/>
    <w:rsid w:val="001950D6"/>
    <w:rsid w:val="001B4825"/>
    <w:rsid w:val="001C01EB"/>
    <w:rsid w:val="001D3AB5"/>
    <w:rsid w:val="001D679E"/>
    <w:rsid w:val="001E2874"/>
    <w:rsid w:val="00214D40"/>
    <w:rsid w:val="00220478"/>
    <w:rsid w:val="002531D4"/>
    <w:rsid w:val="002738B1"/>
    <w:rsid w:val="0027743D"/>
    <w:rsid w:val="00277EA6"/>
    <w:rsid w:val="00291351"/>
    <w:rsid w:val="002B3F16"/>
    <w:rsid w:val="002B6972"/>
    <w:rsid w:val="002D2428"/>
    <w:rsid w:val="002D3A3F"/>
    <w:rsid w:val="002E07FF"/>
    <w:rsid w:val="002F33F9"/>
    <w:rsid w:val="002F448A"/>
    <w:rsid w:val="002F7609"/>
    <w:rsid w:val="003007CB"/>
    <w:rsid w:val="0031261D"/>
    <w:rsid w:val="00345007"/>
    <w:rsid w:val="00356822"/>
    <w:rsid w:val="00361DAF"/>
    <w:rsid w:val="003713D3"/>
    <w:rsid w:val="003961F0"/>
    <w:rsid w:val="00397A18"/>
    <w:rsid w:val="003A37EC"/>
    <w:rsid w:val="003B1580"/>
    <w:rsid w:val="003B4A5B"/>
    <w:rsid w:val="003B4B82"/>
    <w:rsid w:val="003B5DE6"/>
    <w:rsid w:val="003E3291"/>
    <w:rsid w:val="003E7543"/>
    <w:rsid w:val="00413090"/>
    <w:rsid w:val="00413B7B"/>
    <w:rsid w:val="00430488"/>
    <w:rsid w:val="00466B5D"/>
    <w:rsid w:val="0046726D"/>
    <w:rsid w:val="004B64E7"/>
    <w:rsid w:val="004E6B6F"/>
    <w:rsid w:val="004F4070"/>
    <w:rsid w:val="005225C8"/>
    <w:rsid w:val="00531F5C"/>
    <w:rsid w:val="00541632"/>
    <w:rsid w:val="00543B98"/>
    <w:rsid w:val="00552E01"/>
    <w:rsid w:val="00595EA4"/>
    <w:rsid w:val="005B1D4A"/>
    <w:rsid w:val="005D1758"/>
    <w:rsid w:val="005D1C50"/>
    <w:rsid w:val="005D4013"/>
    <w:rsid w:val="005D5D27"/>
    <w:rsid w:val="0060498D"/>
    <w:rsid w:val="00606A36"/>
    <w:rsid w:val="00621F65"/>
    <w:rsid w:val="00631391"/>
    <w:rsid w:val="00636817"/>
    <w:rsid w:val="006636DD"/>
    <w:rsid w:val="006721C7"/>
    <w:rsid w:val="006812EA"/>
    <w:rsid w:val="00690476"/>
    <w:rsid w:val="00693BBC"/>
    <w:rsid w:val="00696E1F"/>
    <w:rsid w:val="006B4D14"/>
    <w:rsid w:val="006D46E4"/>
    <w:rsid w:val="006E5ECF"/>
    <w:rsid w:val="006F3B90"/>
    <w:rsid w:val="007029E2"/>
    <w:rsid w:val="00704AEB"/>
    <w:rsid w:val="00744F4A"/>
    <w:rsid w:val="00750B6E"/>
    <w:rsid w:val="007752A1"/>
    <w:rsid w:val="007B26A5"/>
    <w:rsid w:val="007B41E2"/>
    <w:rsid w:val="007B568B"/>
    <w:rsid w:val="007F73D3"/>
    <w:rsid w:val="00802B92"/>
    <w:rsid w:val="00842247"/>
    <w:rsid w:val="00842508"/>
    <w:rsid w:val="00843FA4"/>
    <w:rsid w:val="00844916"/>
    <w:rsid w:val="00851C3F"/>
    <w:rsid w:val="0086182E"/>
    <w:rsid w:val="0087554B"/>
    <w:rsid w:val="00884EFD"/>
    <w:rsid w:val="008B3FEC"/>
    <w:rsid w:val="008C0CAA"/>
    <w:rsid w:val="008F18D6"/>
    <w:rsid w:val="009025D5"/>
    <w:rsid w:val="00907C66"/>
    <w:rsid w:val="00913C09"/>
    <w:rsid w:val="009155F3"/>
    <w:rsid w:val="00931BA9"/>
    <w:rsid w:val="009324D1"/>
    <w:rsid w:val="009401F5"/>
    <w:rsid w:val="009540CC"/>
    <w:rsid w:val="00955C02"/>
    <w:rsid w:val="00961B4E"/>
    <w:rsid w:val="00964509"/>
    <w:rsid w:val="0096521F"/>
    <w:rsid w:val="00974A7A"/>
    <w:rsid w:val="00975CBB"/>
    <w:rsid w:val="00977C25"/>
    <w:rsid w:val="0098245E"/>
    <w:rsid w:val="009A45EF"/>
    <w:rsid w:val="009B21C3"/>
    <w:rsid w:val="009B449D"/>
    <w:rsid w:val="009D66F8"/>
    <w:rsid w:val="00A075DA"/>
    <w:rsid w:val="00A44BDA"/>
    <w:rsid w:val="00A543BB"/>
    <w:rsid w:val="00A57CC4"/>
    <w:rsid w:val="00A60C4D"/>
    <w:rsid w:val="00A62AD7"/>
    <w:rsid w:val="00A819C7"/>
    <w:rsid w:val="00A826B9"/>
    <w:rsid w:val="00AB3441"/>
    <w:rsid w:val="00AC47D7"/>
    <w:rsid w:val="00AC4B8B"/>
    <w:rsid w:val="00AD0083"/>
    <w:rsid w:val="00AD422B"/>
    <w:rsid w:val="00AD43B8"/>
    <w:rsid w:val="00B26B72"/>
    <w:rsid w:val="00B312DA"/>
    <w:rsid w:val="00B44E5F"/>
    <w:rsid w:val="00B82CBC"/>
    <w:rsid w:val="00BB4DB7"/>
    <w:rsid w:val="00BE4E1B"/>
    <w:rsid w:val="00C23B4D"/>
    <w:rsid w:val="00C37558"/>
    <w:rsid w:val="00C4381F"/>
    <w:rsid w:val="00C56B12"/>
    <w:rsid w:val="00C61282"/>
    <w:rsid w:val="00C62FAF"/>
    <w:rsid w:val="00C72882"/>
    <w:rsid w:val="00C740FA"/>
    <w:rsid w:val="00C75CAA"/>
    <w:rsid w:val="00CA1B01"/>
    <w:rsid w:val="00CA309A"/>
    <w:rsid w:val="00CA50AD"/>
    <w:rsid w:val="00CC29B1"/>
    <w:rsid w:val="00CD7785"/>
    <w:rsid w:val="00CE2120"/>
    <w:rsid w:val="00D079EB"/>
    <w:rsid w:val="00D4093B"/>
    <w:rsid w:val="00D40AFE"/>
    <w:rsid w:val="00D4740B"/>
    <w:rsid w:val="00D503E7"/>
    <w:rsid w:val="00D61D06"/>
    <w:rsid w:val="00D70B18"/>
    <w:rsid w:val="00D805C9"/>
    <w:rsid w:val="00D915AB"/>
    <w:rsid w:val="00DC3EDE"/>
    <w:rsid w:val="00DC6CFA"/>
    <w:rsid w:val="00DD1491"/>
    <w:rsid w:val="00DD625D"/>
    <w:rsid w:val="00DF3CC0"/>
    <w:rsid w:val="00DF794B"/>
    <w:rsid w:val="00E12A57"/>
    <w:rsid w:val="00E215D3"/>
    <w:rsid w:val="00E26FA4"/>
    <w:rsid w:val="00E365DB"/>
    <w:rsid w:val="00E41379"/>
    <w:rsid w:val="00E857AA"/>
    <w:rsid w:val="00E9102F"/>
    <w:rsid w:val="00EB250C"/>
    <w:rsid w:val="00EC4079"/>
    <w:rsid w:val="00ED43EC"/>
    <w:rsid w:val="00EE416A"/>
    <w:rsid w:val="00F04EF0"/>
    <w:rsid w:val="00F050D7"/>
    <w:rsid w:val="00F207AC"/>
    <w:rsid w:val="00F21F90"/>
    <w:rsid w:val="00F305AD"/>
    <w:rsid w:val="00F37C0C"/>
    <w:rsid w:val="00F631A4"/>
    <w:rsid w:val="00FA6741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7C23"/>
  <w15:chartTrackingRefBased/>
  <w15:docId w15:val="{77532EF7-34DE-4B6B-B857-64D10E0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102F"/>
    <w:rPr>
      <w:b/>
      <w:bCs/>
    </w:rPr>
  </w:style>
  <w:style w:type="paragraph" w:customStyle="1" w:styleId="Default">
    <w:name w:val="Default"/>
    <w:rsid w:val="007B5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E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E01"/>
    <w:rPr>
      <w:vertAlign w:val="superscript"/>
    </w:rPr>
  </w:style>
  <w:style w:type="table" w:styleId="Tabela-Siatka">
    <w:name w:val="Table Grid"/>
    <w:basedOn w:val="Standardowy"/>
    <w:uiPriority w:val="59"/>
    <w:rsid w:val="00552E01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B31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9E2"/>
  </w:style>
  <w:style w:type="paragraph" w:styleId="Stopka">
    <w:name w:val="footer"/>
    <w:basedOn w:val="Normalny"/>
    <w:link w:val="Stopka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9E2"/>
  </w:style>
  <w:style w:type="paragraph" w:styleId="Akapitzlist">
    <w:name w:val="List Paragraph"/>
    <w:basedOn w:val="Normalny"/>
    <w:uiPriority w:val="34"/>
    <w:qFormat/>
    <w:rsid w:val="00F37C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14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B7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3B1580"/>
  </w:style>
  <w:style w:type="character" w:customStyle="1" w:styleId="kwal">
    <w:name w:val="kwal"/>
    <w:basedOn w:val="Domylnaczcionkaakapitu"/>
    <w:rsid w:val="00913C09"/>
  </w:style>
  <w:style w:type="character" w:customStyle="1" w:styleId="def">
    <w:name w:val="def"/>
    <w:basedOn w:val="Domylnaczcionkaakapitu"/>
    <w:rsid w:val="00913C09"/>
  </w:style>
  <w:style w:type="paragraph" w:customStyle="1" w:styleId="LPpodstawowyinterlinia1">
    <w:name w:val="LP_podstawowy_interlinia1"/>
    <w:basedOn w:val="Normalny"/>
    <w:rsid w:val="00C61282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/ochrona_lasu/srodki-ochrony-rosl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sticides.fsc.org/strategy-databa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3278-538D-4733-9471-E96E1CC4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3560</Words>
  <Characters>21360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24871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RDLP Zielona Gora</cp:lastModifiedBy>
  <cp:revision>20</cp:revision>
  <cp:lastPrinted>2020-05-21T06:39:00Z</cp:lastPrinted>
  <dcterms:created xsi:type="dcterms:W3CDTF">2020-11-27T12:37:00Z</dcterms:created>
  <dcterms:modified xsi:type="dcterms:W3CDTF">2021-05-06T09:06:00Z</dcterms:modified>
</cp:coreProperties>
</file>