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38D" w14:textId="77777777" w:rsidR="002179BC" w:rsidRPr="005D1758" w:rsidRDefault="002179BC" w:rsidP="002179BC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540B2F41" w14:textId="77777777" w:rsidR="002179BC" w:rsidRDefault="002179BC" w:rsidP="002179BC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dla SILVAKOL</w:t>
      </w:r>
    </w:p>
    <w:p w14:paraId="4C20B1F2" w14:textId="77777777" w:rsidR="002179BC" w:rsidRPr="00CF504A" w:rsidRDefault="002179BC" w:rsidP="002179BC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(substancja czynna </w:t>
      </w:r>
      <w:r w:rsidRPr="002179BC">
        <w:rPr>
          <w:b/>
          <w:bCs/>
          <w:color w:val="000000" w:themeColor="text1"/>
          <w:sz w:val="36"/>
          <w:szCs w:val="36"/>
        </w:rPr>
        <w:t xml:space="preserve">benzoesan </w:t>
      </w:r>
      <w:proofErr w:type="spellStart"/>
      <w:r w:rsidRPr="002179BC">
        <w:rPr>
          <w:b/>
          <w:bCs/>
          <w:color w:val="000000" w:themeColor="text1"/>
          <w:sz w:val="36"/>
          <w:szCs w:val="36"/>
        </w:rPr>
        <w:t>denatonium</w:t>
      </w:r>
      <w:proofErr w:type="spellEnd"/>
      <w:r>
        <w:rPr>
          <w:b/>
          <w:bCs/>
          <w:color w:val="000000" w:themeColor="text1"/>
          <w:sz w:val="36"/>
          <w:szCs w:val="36"/>
        </w:rPr>
        <w:t>)</w:t>
      </w:r>
    </w:p>
    <w:p w14:paraId="1D5768E2" w14:textId="77777777" w:rsidR="002179BC" w:rsidRDefault="002179BC" w:rsidP="002179BC">
      <w:pPr>
        <w:pStyle w:val="LPpodstawowyinterlinia1"/>
        <w:ind w:firstLine="0"/>
        <w:rPr>
          <w:b/>
          <w:bCs/>
          <w:sz w:val="28"/>
          <w:szCs w:val="28"/>
        </w:rPr>
      </w:pPr>
    </w:p>
    <w:p w14:paraId="3D5F6305" w14:textId="77777777" w:rsidR="002179BC" w:rsidRDefault="002179BC" w:rsidP="002179BC">
      <w:pPr>
        <w:pStyle w:val="LPpodstawowyinterlinia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0F668425" w14:textId="77777777" w:rsidR="002179BC" w:rsidRDefault="002179BC" w:rsidP="002179BC">
      <w:pPr>
        <w:jc w:val="center"/>
        <w:rPr>
          <w:b/>
          <w:bCs/>
          <w:sz w:val="28"/>
          <w:szCs w:val="28"/>
        </w:rPr>
      </w:pPr>
    </w:p>
    <w:p w14:paraId="6AE8444C" w14:textId="77777777" w:rsidR="002179BC" w:rsidRDefault="002179BC" w:rsidP="002179BC">
      <w:pPr>
        <w:jc w:val="center"/>
        <w:rPr>
          <w:b/>
          <w:bCs/>
          <w:sz w:val="28"/>
          <w:szCs w:val="28"/>
        </w:rPr>
      </w:pPr>
    </w:p>
    <w:p w14:paraId="6B911509" w14:textId="77777777" w:rsidR="002179BC" w:rsidRPr="005D1758" w:rsidRDefault="002179BC" w:rsidP="002179BC">
      <w:pPr>
        <w:jc w:val="both"/>
        <w:rPr>
          <w:b/>
          <w:bCs/>
        </w:rPr>
      </w:pPr>
    </w:p>
    <w:p w14:paraId="37E0FD2C" w14:textId="77777777" w:rsidR="002179BC" w:rsidRPr="005D1758" w:rsidRDefault="002179BC" w:rsidP="002179BC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4D5D410C" w14:textId="77777777" w:rsidR="002179BC" w:rsidRPr="005D1758" w:rsidRDefault="002179BC" w:rsidP="002179BC">
      <w:pPr>
        <w:jc w:val="both"/>
        <w:rPr>
          <w:rFonts w:cs="Arial"/>
        </w:rPr>
      </w:pPr>
      <w:r>
        <w:rPr>
          <w:rFonts w:cs="Arial"/>
        </w:rPr>
        <w:t>Lasy Państwowe jako</w:t>
      </w:r>
      <w:r w:rsidRPr="005D1758">
        <w:rPr>
          <w:rFonts w:cs="Arial"/>
        </w:rPr>
        <w:t xml:space="preserve"> państwowa jednostka organizacyjna nieposiadająca osobowości prawnej, reprezentuj</w:t>
      </w:r>
      <w:r>
        <w:rPr>
          <w:rFonts w:cs="Arial"/>
        </w:rPr>
        <w:t>ą</w:t>
      </w:r>
      <w:r w:rsidRPr="005D1758">
        <w:rPr>
          <w:rFonts w:cs="Arial"/>
        </w:rPr>
        <w:t xml:space="preserve">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5D1758">
        <w:rPr>
          <w:rFonts w:cs="Arial"/>
        </w:rPr>
        <w:t>późn</w:t>
      </w:r>
      <w:proofErr w:type="spellEnd"/>
      <w:r w:rsidRPr="005D1758">
        <w:rPr>
          <w:rFonts w:cs="Arial"/>
        </w:rPr>
        <w:t xml:space="preserve">. zm.), gdzie trwale połączono leśnictwo z ochroną przyrody i ochroną środowiska oraz określono zasady prowadzenia gospodarki leśnej w Polsce. </w:t>
      </w:r>
    </w:p>
    <w:p w14:paraId="0D954ED1" w14:textId="77777777" w:rsidR="002179BC" w:rsidRPr="005D1758" w:rsidRDefault="002179BC" w:rsidP="002179BC">
      <w:pPr>
        <w:jc w:val="both"/>
        <w:rPr>
          <w:b/>
          <w:bCs/>
        </w:rPr>
      </w:pPr>
      <w:r w:rsidRPr="005D1758">
        <w:rPr>
          <w:rFonts w:cs="Arial"/>
        </w:rPr>
        <w:t xml:space="preserve">Zgodnie z uregulowaniami ustawy o lasach, </w:t>
      </w:r>
      <w:r w:rsidRPr="005D1758">
        <w:rPr>
          <w:rFonts w:cs="Arial"/>
          <w:color w:val="000000" w:themeColor="text1"/>
        </w:rPr>
        <w:t xml:space="preserve">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5D1758">
        <w:rPr>
          <w:rFonts w:cs="Arial"/>
          <w:color w:val="000000" w:themeColor="text1"/>
        </w:rPr>
        <w:t>uol</w:t>
      </w:r>
      <w:proofErr w:type="spellEnd"/>
      <w:r w:rsidRPr="005D1758">
        <w:rPr>
          <w:rFonts w:cs="Arial"/>
          <w:color w:val="000000" w:themeColor="text1"/>
        </w:rPr>
        <w:t xml:space="preserve">). Ustawa nakłada na nadleśniczego obowiązek wykonywania zabiegów zwalczających i ochronnych, w razie wystąpienia organizmów szkodliwych, w stopniu zagrażającym trwałości lasów (art. 10 </w:t>
      </w:r>
      <w:proofErr w:type="spellStart"/>
      <w:r w:rsidRPr="005D1758">
        <w:rPr>
          <w:rFonts w:cs="Arial"/>
          <w:color w:val="000000" w:themeColor="text1"/>
        </w:rPr>
        <w:t>uol</w:t>
      </w:r>
      <w:proofErr w:type="spellEnd"/>
      <w:r w:rsidRPr="005D1758">
        <w:rPr>
          <w:rFonts w:cs="Arial"/>
          <w:color w:val="000000" w:themeColor="text1"/>
        </w:rPr>
        <w:t>).</w:t>
      </w:r>
      <w:r w:rsidRPr="005D1758">
        <w:rPr>
          <w:rFonts w:cs="Arial"/>
        </w:rPr>
        <w:t xml:space="preserve"> Ustawa o lasach nakłada ponadto obowiązek trwałego utrzymywania lasów i zapewniania ciągłości ich użytkowania (art. 13 </w:t>
      </w:r>
      <w:proofErr w:type="spellStart"/>
      <w:r w:rsidRPr="005D1758">
        <w:rPr>
          <w:rFonts w:cs="Arial"/>
        </w:rPr>
        <w:t>uol</w:t>
      </w:r>
      <w:proofErr w:type="spellEnd"/>
      <w:r w:rsidRPr="005D1758">
        <w:rPr>
          <w:rFonts w:cs="Arial"/>
        </w:rPr>
        <w:t>).</w:t>
      </w:r>
    </w:p>
    <w:p w14:paraId="33FD5928" w14:textId="77777777" w:rsidR="002179BC" w:rsidRPr="005D1758" w:rsidRDefault="002179BC" w:rsidP="002179BC">
      <w:pPr>
        <w:jc w:val="both"/>
        <w:rPr>
          <w:b/>
          <w:bCs/>
        </w:rPr>
      </w:pPr>
      <w:r w:rsidRPr="005D1758">
        <w:rPr>
          <w:rFonts w:cs="Arial"/>
          <w:color w:val="000000" w:themeColor="text1"/>
        </w:rPr>
        <w:t xml:space="preserve">Leśnictwo </w:t>
      </w:r>
      <w:r>
        <w:rPr>
          <w:rFonts w:cs="Arial"/>
          <w:color w:val="000000" w:themeColor="text1"/>
        </w:rPr>
        <w:t>jako gałąź gospodarki narodowej</w:t>
      </w:r>
      <w:r w:rsidRPr="005D1758">
        <w:rPr>
          <w:rFonts w:cs="Arial"/>
          <w:color w:val="000000" w:themeColor="text1"/>
        </w:rPr>
        <w:t xml:space="preserve">, z uwagi na uwarunkowania klimatyczne, ekologiczne i drzewostanowe, zmuszone jest, posiłkować się środkami ochrony roślin. Środki te używane są wyłącznie w uzasadnionych sytuacjach, zawsze z poszanowaniem obowiązujących przepisów, w ograniczonym zakresie i w usprawiedliwionych okolicznościach. </w:t>
      </w:r>
    </w:p>
    <w:p w14:paraId="195213F9" w14:textId="77777777" w:rsidR="002179BC" w:rsidRPr="00331158" w:rsidRDefault="002179BC" w:rsidP="002179BC">
      <w:pPr>
        <w:jc w:val="both"/>
        <w:rPr>
          <w:b/>
          <w:bCs/>
        </w:rPr>
      </w:pPr>
      <w:r w:rsidRPr="005D1758">
        <w:rPr>
          <w:rFonts w:cs="Arial"/>
        </w:rPr>
        <w:t>Stosowane obecnie w leśnictwie środki ochrony roślin dopuszczone prawem krajowym oraz przepisami Unii Europejskiej, zawarte są w sporządzanej co roku przez Instytut Badawczy Leśnictwa broszurze „</w:t>
      </w:r>
      <w:r>
        <w:rPr>
          <w:rFonts w:cs="Arial"/>
        </w:rPr>
        <w:t>Ś</w:t>
      </w:r>
      <w:r w:rsidRPr="00C56B12">
        <w:rPr>
          <w:rFonts w:cs="Arial"/>
        </w:rPr>
        <w:t>rodki ochrony roślin oraz środki biobójcze</w:t>
      </w:r>
      <w:r>
        <w:rPr>
          <w:rFonts w:cs="Arial"/>
        </w:rPr>
        <w:t xml:space="preserve"> </w:t>
      </w:r>
      <w:r w:rsidRPr="00C56B12">
        <w:rPr>
          <w:rFonts w:cs="Arial"/>
        </w:rPr>
        <w:t>do stosowania w leśnictwie</w:t>
      </w:r>
      <w:r w:rsidRPr="005D1758">
        <w:rPr>
          <w:rFonts w:cs="Arial"/>
        </w:rPr>
        <w:t>” i obejmującej środki zarejestrowane dla leśnictwa przez Ministra Rolnictwa i Rozwoju Wsi.</w:t>
      </w:r>
      <w:r>
        <w:rPr>
          <w:rFonts w:cs="Arial"/>
        </w:rPr>
        <w:t xml:space="preserve"> </w:t>
      </w:r>
      <w:r w:rsidRPr="00124309">
        <w:rPr>
          <w:rFonts w:cs="Arial"/>
        </w:rPr>
        <w:t>Opracowanie to jest na bieżąco aktualizowane i udostępniane:</w:t>
      </w:r>
    </w:p>
    <w:p w14:paraId="7CD4F306" w14:textId="77777777" w:rsidR="002179BC" w:rsidRDefault="007C6F5F" w:rsidP="002179BC">
      <w:pPr>
        <w:jc w:val="both"/>
        <w:rPr>
          <w:rFonts w:ascii="Calibri" w:eastAsia="Calibri" w:hAnsi="Calibri" w:cs="Times New Roman"/>
          <w:color w:val="0563C1"/>
          <w:u w:val="single"/>
        </w:rPr>
      </w:pPr>
      <w:hyperlink r:id="rId8" w:history="1">
        <w:r w:rsidR="002179BC" w:rsidRPr="00C710D3">
          <w:rPr>
            <w:rFonts w:ascii="Calibri" w:eastAsia="Calibri" w:hAnsi="Calibri" w:cs="Times New Roman"/>
            <w:color w:val="0563C1"/>
            <w:u w:val="single"/>
          </w:rPr>
          <w:t>http://www.lasy.gov.pl/pl/pro/publikacje/copy_of_gospodarka-lesna/ochrona_lasu/srodki-ochrony-roslin/</w:t>
        </w:r>
      </w:hyperlink>
    </w:p>
    <w:p w14:paraId="107C1688" w14:textId="77777777" w:rsidR="002179BC" w:rsidRDefault="002179BC" w:rsidP="002179BC">
      <w:pPr>
        <w:jc w:val="both"/>
        <w:rPr>
          <w:rFonts w:ascii="Calibri" w:eastAsia="Calibri" w:hAnsi="Calibri" w:cs="Times New Roman"/>
          <w:color w:val="0563C1"/>
          <w:u w:val="single"/>
        </w:rPr>
      </w:pPr>
      <w:r w:rsidRPr="00837072">
        <w:rPr>
          <w:rFonts w:cs="Arial"/>
          <w:color w:val="FF0000"/>
        </w:rPr>
        <w:t>Jeśli chodzi o repelenty to są to środki odstraszające, przyjazne dla ludzi i środowiska oraz bezpieczne dla pszczół.</w:t>
      </w:r>
    </w:p>
    <w:p w14:paraId="037921DF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59151FE8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1A75F474" w14:textId="77777777" w:rsidR="00E26FA4" w:rsidRPr="007C172F" w:rsidRDefault="00E26FA4" w:rsidP="00E26FA4">
      <w:pPr>
        <w:rPr>
          <w:bCs/>
          <w:color w:val="FF0000"/>
        </w:rPr>
      </w:pPr>
      <w:r w:rsidRPr="005D1758">
        <w:rPr>
          <w:b/>
          <w:bCs/>
        </w:rPr>
        <w:t xml:space="preserve">Substancja aktywna: </w:t>
      </w:r>
      <w:r w:rsidR="009A2D99" w:rsidRPr="007C172F">
        <w:rPr>
          <w:bCs/>
          <w:color w:val="FF0000"/>
        </w:rPr>
        <w:t xml:space="preserve">benzoesan </w:t>
      </w:r>
      <w:proofErr w:type="spellStart"/>
      <w:r w:rsidR="009A2D99" w:rsidRPr="007C172F">
        <w:rPr>
          <w:bCs/>
          <w:color w:val="FF0000"/>
        </w:rPr>
        <w:t>denatonium</w:t>
      </w:r>
      <w:proofErr w:type="spellEnd"/>
    </w:p>
    <w:p w14:paraId="3A2FD291" w14:textId="77777777" w:rsidR="007C172F" w:rsidRDefault="00CA50AD" w:rsidP="007C172F">
      <w:pPr>
        <w:spacing w:after="0" w:line="276" w:lineRule="auto"/>
        <w:jc w:val="both"/>
        <w:rPr>
          <w:color w:val="FF0000"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 </w:t>
      </w:r>
      <w:r w:rsidR="00157DC3">
        <w:rPr>
          <w:b/>
          <w:bCs/>
        </w:rPr>
        <w:t xml:space="preserve">pestycydu </w:t>
      </w:r>
      <w:proofErr w:type="spellStart"/>
      <w:r w:rsidR="00D112DB">
        <w:rPr>
          <w:b/>
          <w:bCs/>
        </w:rPr>
        <w:t>Silvac</w:t>
      </w:r>
      <w:r w:rsidR="009A2D99">
        <w:rPr>
          <w:b/>
          <w:bCs/>
        </w:rPr>
        <w:t>ol</w:t>
      </w:r>
      <w:proofErr w:type="spellEnd"/>
      <w:r w:rsidR="00C56B12">
        <w:rPr>
          <w:b/>
          <w:bCs/>
        </w:rPr>
        <w:t xml:space="preserve">: </w:t>
      </w:r>
      <w:r w:rsidR="007C172F" w:rsidRPr="007C172F">
        <w:rPr>
          <w:color w:val="FF0000"/>
        </w:rPr>
        <w:t>jest to preparat w formie białej farby o działaniu odstraszającym, przeznaczonym do ochrony sadzonek i drzewek drzew liściastych i iglastych przed zgryzaniem przez zające, sarny i inne zwierzęta.</w:t>
      </w:r>
    </w:p>
    <w:p w14:paraId="57ADE901" w14:textId="77777777" w:rsidR="001621FD" w:rsidRDefault="001621FD" w:rsidP="007C172F">
      <w:pPr>
        <w:spacing w:after="0" w:line="276" w:lineRule="auto"/>
        <w:jc w:val="both"/>
        <w:rPr>
          <w:color w:val="FF0000"/>
        </w:rPr>
      </w:pPr>
    </w:p>
    <w:p w14:paraId="45D0AD85" w14:textId="77777777" w:rsidR="001621FD" w:rsidRPr="001621FD" w:rsidRDefault="001621FD" w:rsidP="002C0068">
      <w:pPr>
        <w:jc w:val="both"/>
        <w:rPr>
          <w:rFonts w:eastAsia="Times New Roman" w:cstheme="minorHAnsi"/>
          <w:color w:val="FF0000"/>
          <w:lang w:eastAsia="pl-PL"/>
        </w:rPr>
      </w:pPr>
      <w:r w:rsidRPr="002C0068">
        <w:rPr>
          <w:rFonts w:cstheme="minorHAnsi"/>
          <w:b/>
          <w:color w:val="FF0000"/>
        </w:rPr>
        <w:t xml:space="preserve">Charakterystyka substancji aktywnej </w:t>
      </w:r>
      <w:r w:rsidRPr="002C0068">
        <w:rPr>
          <w:rFonts w:eastAsia="Times New Roman" w:cstheme="minorHAnsi"/>
          <w:b/>
          <w:bCs/>
          <w:color w:val="FF0000"/>
          <w:lang w:eastAsia="pl-PL"/>
        </w:rPr>
        <w:t xml:space="preserve">Benzoesan </w:t>
      </w:r>
      <w:proofErr w:type="spellStart"/>
      <w:r w:rsidRPr="002C0068">
        <w:rPr>
          <w:rFonts w:eastAsia="Times New Roman" w:cstheme="minorHAnsi"/>
          <w:b/>
          <w:bCs/>
          <w:color w:val="FF0000"/>
          <w:lang w:eastAsia="pl-PL"/>
        </w:rPr>
        <w:t>denatonium</w:t>
      </w:r>
      <w:proofErr w:type="spellEnd"/>
      <w:r w:rsidRPr="002C0068">
        <w:rPr>
          <w:rFonts w:eastAsia="Times New Roman" w:cstheme="minorHAnsi"/>
          <w:b/>
          <w:bCs/>
          <w:color w:val="FF0000"/>
          <w:lang w:eastAsia="pl-PL"/>
        </w:rPr>
        <w:t xml:space="preserve">: </w:t>
      </w:r>
      <w:r w:rsidRPr="002C0068">
        <w:rPr>
          <w:rFonts w:eastAsia="Times New Roman" w:cstheme="minorHAnsi"/>
          <w:color w:val="FF0000"/>
          <w:lang w:eastAsia="pl-PL"/>
        </w:rPr>
        <w:t xml:space="preserve">Jest to </w:t>
      </w:r>
      <w:hyperlink r:id="rId9" w:tooltip="Związki organiczne" w:history="1">
        <w:r w:rsidRPr="002C0068">
          <w:rPr>
            <w:rFonts w:eastAsia="Times New Roman" w:cstheme="minorHAnsi"/>
            <w:color w:val="FF0000"/>
            <w:lang w:eastAsia="pl-PL"/>
          </w:rPr>
          <w:t>organiczny związek chemiczny</w:t>
        </w:r>
      </w:hyperlink>
      <w:r w:rsidRPr="002C0068">
        <w:rPr>
          <w:rFonts w:eastAsia="Times New Roman" w:cstheme="minorHAnsi"/>
          <w:color w:val="FF0000"/>
          <w:lang w:eastAsia="pl-PL"/>
        </w:rPr>
        <w:t xml:space="preserve">, uznany za najbardziej gorzką ze wszystkich znanych </w:t>
      </w:r>
      <w:hyperlink r:id="rId10" w:tooltip="Substancja chemiczna" w:history="1">
        <w:r w:rsidRPr="002C0068">
          <w:rPr>
            <w:rFonts w:eastAsia="Times New Roman" w:cstheme="minorHAnsi"/>
            <w:color w:val="FF0000"/>
            <w:lang w:eastAsia="pl-PL"/>
          </w:rPr>
          <w:t>substancji</w:t>
        </w:r>
      </w:hyperlink>
      <w:r w:rsidRPr="002C0068">
        <w:rPr>
          <w:rFonts w:eastAsia="Times New Roman" w:cstheme="minorHAnsi"/>
          <w:color w:val="FF0000"/>
          <w:lang w:eastAsia="pl-PL"/>
        </w:rPr>
        <w:t xml:space="preserve">. </w:t>
      </w:r>
      <w:r w:rsidR="002C0068" w:rsidRPr="002C0068">
        <w:rPr>
          <w:rFonts w:eastAsia="Times New Roman" w:cstheme="minorHAnsi"/>
          <w:color w:val="FF0000"/>
          <w:lang w:eastAsia="pl-PL"/>
        </w:rPr>
        <w:t xml:space="preserve"> Zwykle </w:t>
      </w:r>
      <w:r w:rsidR="002A1A39">
        <w:rPr>
          <w:rFonts w:eastAsia="Times New Roman" w:cstheme="minorHAnsi"/>
          <w:color w:val="FF0000"/>
          <w:lang w:eastAsia="pl-PL"/>
        </w:rPr>
        <w:t xml:space="preserve">występuje </w:t>
      </w:r>
      <w:r w:rsidR="002C0068" w:rsidRPr="002C0068">
        <w:rPr>
          <w:rFonts w:eastAsia="Times New Roman" w:cstheme="minorHAnsi"/>
          <w:color w:val="FF0000"/>
          <w:lang w:eastAsia="pl-PL"/>
        </w:rPr>
        <w:t xml:space="preserve">pod nazwami handlowymi  takimi jak </w:t>
      </w:r>
      <w:proofErr w:type="spellStart"/>
      <w:r w:rsidR="002C0068" w:rsidRPr="002C0068">
        <w:rPr>
          <w:rFonts w:eastAsia="Times New Roman" w:cstheme="minorHAnsi"/>
          <w:color w:val="FF0000"/>
          <w:lang w:eastAsia="pl-PL"/>
        </w:rPr>
        <w:t>Denatrol</w:t>
      </w:r>
      <w:proofErr w:type="spellEnd"/>
      <w:r w:rsidR="002C0068" w:rsidRPr="002C0068">
        <w:rPr>
          <w:rFonts w:eastAsia="Times New Roman" w:cstheme="minorHAnsi"/>
          <w:color w:val="FF0000"/>
          <w:lang w:eastAsia="pl-PL"/>
        </w:rPr>
        <w:t xml:space="preserve"> , BITTERANT-b , BITTER + PLUS , </w:t>
      </w:r>
      <w:proofErr w:type="spellStart"/>
      <w:r w:rsidR="002C0068" w:rsidRPr="002C0068">
        <w:rPr>
          <w:rFonts w:eastAsia="Times New Roman" w:cstheme="minorHAnsi"/>
          <w:color w:val="FF0000"/>
          <w:lang w:eastAsia="pl-PL"/>
        </w:rPr>
        <w:t>Bitrex</w:t>
      </w:r>
      <w:proofErr w:type="spellEnd"/>
      <w:r w:rsidR="002C0068" w:rsidRPr="002C0068">
        <w:rPr>
          <w:rFonts w:eastAsia="Times New Roman" w:cstheme="minorHAnsi"/>
          <w:color w:val="FF0000"/>
          <w:lang w:eastAsia="pl-PL"/>
        </w:rPr>
        <w:t xml:space="preserve"> lub Niechęć  i jako denaturujący sacharyd ( BITTERANT-s ). </w:t>
      </w:r>
      <w:r w:rsidR="002A1A39">
        <w:rPr>
          <w:rFonts w:eastAsia="Times New Roman" w:cstheme="minorHAnsi"/>
          <w:color w:val="FF0000"/>
          <w:lang w:eastAsia="pl-PL"/>
        </w:rPr>
        <w:t xml:space="preserve"> </w:t>
      </w:r>
      <w:r w:rsidRPr="002C0068">
        <w:rPr>
          <w:rFonts w:eastAsia="Times New Roman" w:cstheme="minorHAnsi"/>
          <w:color w:val="FF0000"/>
          <w:lang w:eastAsia="pl-PL"/>
        </w:rPr>
        <w:t xml:space="preserve">Związek ten jest powszechnie stosowany </w:t>
      </w:r>
      <w:r w:rsidRPr="001621FD">
        <w:rPr>
          <w:rFonts w:eastAsia="Times New Roman" w:cstheme="minorHAnsi"/>
          <w:color w:val="FF0000"/>
          <w:lang w:eastAsia="pl-PL"/>
        </w:rPr>
        <w:t xml:space="preserve">do skażania </w:t>
      </w:r>
      <w:hyperlink r:id="rId11" w:tooltip="Toksyczność" w:history="1">
        <w:r w:rsidRPr="001621FD">
          <w:rPr>
            <w:rFonts w:eastAsia="Times New Roman" w:cstheme="minorHAnsi"/>
            <w:color w:val="FF0000"/>
            <w:lang w:eastAsia="pl-PL"/>
          </w:rPr>
          <w:t>toksycznych</w:t>
        </w:r>
      </w:hyperlink>
      <w:r w:rsidRPr="001621FD">
        <w:rPr>
          <w:rFonts w:eastAsia="Times New Roman" w:cstheme="minorHAnsi"/>
          <w:color w:val="FF0000"/>
          <w:lang w:eastAsia="pl-PL"/>
        </w:rPr>
        <w:t xml:space="preserve"> substancji, których spożycie (szczególnie przez dzieci) może powodować poważne </w:t>
      </w:r>
      <w:hyperlink r:id="rId12" w:tooltip="Zatrucie" w:history="1">
        <w:r w:rsidRPr="001621FD">
          <w:rPr>
            <w:rFonts w:eastAsia="Times New Roman" w:cstheme="minorHAnsi"/>
            <w:color w:val="FF0000"/>
            <w:lang w:eastAsia="pl-PL"/>
          </w:rPr>
          <w:t>zatrucia</w:t>
        </w:r>
      </w:hyperlink>
      <w:r w:rsidRPr="001621FD">
        <w:rPr>
          <w:rFonts w:eastAsia="Times New Roman" w:cstheme="minorHAnsi"/>
          <w:color w:val="FF0000"/>
          <w:lang w:eastAsia="pl-PL"/>
        </w:rPr>
        <w:t xml:space="preserve">. </w:t>
      </w:r>
      <w:r w:rsidRPr="002C0068">
        <w:rPr>
          <w:rFonts w:cstheme="minorHAnsi"/>
          <w:color w:val="FF0000"/>
        </w:rPr>
        <w:t>Już niewielkie ilości tej substancji są tak gorzkie, że połknięcie produktu, który zwiera tą substancję jest praktycznie niemożliwe. Ważną informacją jest również to, że mimo iż benzoesan (</w:t>
      </w:r>
      <w:proofErr w:type="spellStart"/>
      <w:r w:rsidRPr="002C0068">
        <w:rPr>
          <w:rFonts w:cstheme="minorHAnsi"/>
          <w:color w:val="FF0000"/>
        </w:rPr>
        <w:t>bitrex</w:t>
      </w:r>
      <w:proofErr w:type="spellEnd"/>
      <w:r w:rsidRPr="002C0068">
        <w:rPr>
          <w:rFonts w:cstheme="minorHAnsi"/>
          <w:color w:val="FF0000"/>
        </w:rPr>
        <w:t>) jest bardzo gorzki jednak jest substancją o niskiej toksyczności, dlatego do tej pory nie określono dawki śmiertelnej dla ludzi (dla szczura wynosi ona 584 mg/kg).</w:t>
      </w:r>
    </w:p>
    <w:p w14:paraId="719D9F34" w14:textId="77777777" w:rsidR="001621FD" w:rsidRPr="00251D1A" w:rsidRDefault="00C3036D" w:rsidP="007C172F">
      <w:pPr>
        <w:spacing w:after="0" w:line="276" w:lineRule="auto"/>
        <w:jc w:val="both"/>
        <w:rPr>
          <w:color w:val="FF0000"/>
        </w:rPr>
      </w:pPr>
      <w:r w:rsidRPr="00251D1A">
        <w:rPr>
          <w:b/>
          <w:color w:val="FF0000"/>
        </w:rPr>
        <w:t xml:space="preserve">Sposób aplikacji preparatu: </w:t>
      </w:r>
      <w:r w:rsidR="003C51BA">
        <w:rPr>
          <w:color w:val="FF0000"/>
        </w:rPr>
        <w:t>W okresie jesienno-</w:t>
      </w:r>
      <w:r w:rsidRPr="00251D1A">
        <w:rPr>
          <w:color w:val="FF0000"/>
        </w:rPr>
        <w:t>zimowym, kiedy zwierzęta zaczynają uszkadzać sadzonki nanosić na rośliny za pomocą pędzla lub rękawicy gumowej. Sadzonki i młode drzewka smarować równomiernie cienką war</w:t>
      </w:r>
      <w:r w:rsidR="002A1A39">
        <w:rPr>
          <w:color w:val="FF0000"/>
        </w:rPr>
        <w:t>s</w:t>
      </w:r>
      <w:r w:rsidRPr="00251D1A">
        <w:rPr>
          <w:color w:val="FF0000"/>
        </w:rPr>
        <w:t>twą środka</w:t>
      </w:r>
      <w:r w:rsidR="00251D1A">
        <w:rPr>
          <w:color w:val="FF0000"/>
        </w:rPr>
        <w:t>.</w:t>
      </w:r>
      <w:r w:rsidR="00251D1A" w:rsidRPr="00251D1A">
        <w:rPr>
          <w:rFonts w:ascii="Arial" w:hAnsi="Arial" w:cs="Arial"/>
          <w:color w:val="FF0000"/>
          <w:sz w:val="28"/>
          <w:szCs w:val="28"/>
        </w:rPr>
        <w:t xml:space="preserve"> </w:t>
      </w:r>
      <w:r w:rsidR="00251D1A" w:rsidRPr="00251D1A">
        <w:rPr>
          <w:rFonts w:ascii="Calibri" w:hAnsi="Calibri" w:cs="Calibri"/>
          <w:color w:val="FF0000"/>
        </w:rPr>
        <w:t>Zużycie środka: sadzonki 2-5 letnich drzew liściastych i iglastych: 50,0 g/10</w:t>
      </w:r>
      <w:r w:rsidR="00251D1A" w:rsidRPr="00251D1A">
        <w:rPr>
          <w:rFonts w:ascii="Arial" w:hAnsi="Arial" w:cs="Arial"/>
          <w:color w:val="FF0000"/>
          <w:sz w:val="28"/>
          <w:szCs w:val="28"/>
        </w:rPr>
        <w:t xml:space="preserve"> </w:t>
      </w:r>
      <w:r w:rsidR="00251D1A" w:rsidRPr="00251D1A">
        <w:rPr>
          <w:rFonts w:ascii="Calibri" w:hAnsi="Calibri" w:cs="Calibri"/>
          <w:color w:val="FF0000"/>
        </w:rPr>
        <w:t>sadzonek</w:t>
      </w:r>
      <w:r w:rsidR="00251D1A">
        <w:rPr>
          <w:color w:val="FF0000"/>
        </w:rPr>
        <w:t xml:space="preserve">: </w:t>
      </w:r>
      <w:r w:rsidRPr="00251D1A">
        <w:rPr>
          <w:color w:val="FF0000"/>
        </w:rPr>
        <w:t>drzewa iglaste - pęd główny z bieżącego przyrostu</w:t>
      </w:r>
      <w:r w:rsidR="00251D1A">
        <w:rPr>
          <w:color w:val="FF0000"/>
        </w:rPr>
        <w:t>;</w:t>
      </w:r>
      <w:r w:rsidR="00251D1A">
        <w:rPr>
          <w:color w:val="FF0000"/>
        </w:rPr>
        <w:br/>
      </w:r>
      <w:r w:rsidRPr="00251D1A">
        <w:rPr>
          <w:color w:val="FF0000"/>
        </w:rPr>
        <w:t xml:space="preserve"> drzewa liściaste - cały pęd główny </w:t>
      </w:r>
      <w:r w:rsidR="002A1A39" w:rsidRPr="00251D1A">
        <w:rPr>
          <w:color w:val="FF0000"/>
        </w:rPr>
        <w:t>jeśli</w:t>
      </w:r>
      <w:r w:rsidRPr="00251D1A">
        <w:rPr>
          <w:color w:val="FF0000"/>
        </w:rPr>
        <w:t xml:space="preserve"> jego grubość nie przekracza 1</w:t>
      </w:r>
      <w:r w:rsidR="002A1A39">
        <w:rPr>
          <w:color w:val="FF0000"/>
        </w:rPr>
        <w:t xml:space="preserve"> </w:t>
      </w:r>
      <w:r w:rsidRPr="00251D1A">
        <w:rPr>
          <w:color w:val="FF0000"/>
        </w:rPr>
        <w:t>cm.</w:t>
      </w:r>
      <w:r w:rsidR="003C51BA" w:rsidRPr="003C51BA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</w:t>
      </w:r>
      <w:r w:rsidR="003C51BA" w:rsidRPr="003C51BA">
        <w:rPr>
          <w:rFonts w:ascii="Calibri" w:eastAsia="Times New Roman" w:hAnsi="Calibri" w:cs="Calibri"/>
          <w:color w:val="FF0000"/>
          <w:lang w:eastAsia="pl-PL"/>
        </w:rPr>
        <w:t>W przypadku większych drzewek</w:t>
      </w:r>
      <w:r w:rsidR="003C51BA" w:rsidRPr="003C51BA">
        <w:rPr>
          <w:rFonts w:ascii="Calibri" w:eastAsia="Times New Roman" w:hAnsi="Calibri" w:cs="Calibri"/>
          <w:bCs/>
          <w:color w:val="FF0000"/>
          <w:lang w:eastAsia="pl-PL"/>
        </w:rPr>
        <w:t xml:space="preserve"> należy pnie i gałęzie pomalować od ziemi do wysokości 1,8 m</w:t>
      </w:r>
      <w:r w:rsidR="002A1A39">
        <w:rPr>
          <w:rFonts w:ascii="Calibri" w:eastAsia="Times New Roman" w:hAnsi="Calibri" w:cs="Calibri"/>
          <w:bCs/>
          <w:color w:val="FF0000"/>
          <w:lang w:eastAsia="pl-PL"/>
        </w:rPr>
        <w:t>.</w:t>
      </w:r>
      <w:r w:rsidR="002A1A39">
        <w:rPr>
          <w:color w:val="FF0000"/>
        </w:rPr>
        <w:t xml:space="preserve"> </w:t>
      </w:r>
      <w:r w:rsidRPr="00251D1A">
        <w:rPr>
          <w:color w:val="FF0000"/>
        </w:rPr>
        <w:t xml:space="preserve">Stosować w temperaturze powyżej 0 stopni Celsjusza, w dni bezdeszczowe. Po wyschnięciu </w:t>
      </w:r>
      <w:r w:rsidR="002A1A39" w:rsidRPr="00251D1A">
        <w:rPr>
          <w:color w:val="FF0000"/>
        </w:rPr>
        <w:t>preparat</w:t>
      </w:r>
      <w:r w:rsidRPr="00251D1A">
        <w:rPr>
          <w:color w:val="FF0000"/>
        </w:rPr>
        <w:t xml:space="preserve"> jest odporny na zmywanie i utrzymuje się na pędach do 6 miesięcy.</w:t>
      </w:r>
    </w:p>
    <w:p w14:paraId="46F19091" w14:textId="77777777" w:rsidR="007C172F" w:rsidRDefault="007C172F" w:rsidP="007C172F">
      <w:pPr>
        <w:spacing w:after="0" w:line="276" w:lineRule="auto"/>
        <w:jc w:val="both"/>
      </w:pPr>
    </w:p>
    <w:p w14:paraId="3C43DC20" w14:textId="77777777" w:rsidR="004E3A5C" w:rsidRPr="004E3A5C" w:rsidRDefault="00E26FA4" w:rsidP="004E3A5C">
      <w:pPr>
        <w:rPr>
          <w:bCs/>
          <w:color w:val="FF0000"/>
        </w:rPr>
      </w:pPr>
      <w:r w:rsidRPr="005D1758">
        <w:rPr>
          <w:b/>
          <w:bCs/>
        </w:rPr>
        <w:t xml:space="preserve">Powód wykonania ORŚIS: </w:t>
      </w:r>
      <w:r w:rsidRPr="00C31A41">
        <w:rPr>
          <w:bCs/>
          <w:color w:val="FF0000"/>
        </w:rPr>
        <w:t xml:space="preserve">konieczność zastosowania </w:t>
      </w:r>
      <w:r w:rsidR="00C31A41">
        <w:rPr>
          <w:bCs/>
          <w:color w:val="FF0000"/>
        </w:rPr>
        <w:t xml:space="preserve">pestycydu zawierającego </w:t>
      </w:r>
      <w:r w:rsidR="002A1A39">
        <w:rPr>
          <w:bCs/>
          <w:color w:val="FF0000"/>
        </w:rPr>
        <w:t>syntetyczną substancję czynną</w:t>
      </w:r>
      <w:r w:rsidR="00C31A41">
        <w:rPr>
          <w:bCs/>
          <w:color w:val="FF0000"/>
        </w:rPr>
        <w:t>.</w:t>
      </w:r>
      <w:r w:rsidR="004E3A5C">
        <w:rPr>
          <w:bCs/>
          <w:color w:val="FF0000"/>
        </w:rPr>
        <w:t xml:space="preserve"> </w:t>
      </w:r>
      <w:r w:rsidR="002A1A39" w:rsidRPr="002A1A39">
        <w:rPr>
          <w:rFonts w:cstheme="minorHAnsi"/>
          <w:color w:val="FF0000"/>
        </w:rPr>
        <w:t xml:space="preserve">Substancja aktywna </w:t>
      </w:r>
      <w:r w:rsidR="002A1A39" w:rsidRPr="002A1A39">
        <w:rPr>
          <w:rFonts w:eastAsia="Times New Roman" w:cstheme="minorHAnsi"/>
          <w:bCs/>
          <w:color w:val="FF0000"/>
          <w:lang w:eastAsia="pl-PL"/>
        </w:rPr>
        <w:t xml:space="preserve">Benzoesan </w:t>
      </w:r>
      <w:proofErr w:type="spellStart"/>
      <w:r w:rsidR="002A1A39" w:rsidRPr="002A1A39">
        <w:rPr>
          <w:rFonts w:eastAsia="Times New Roman" w:cstheme="minorHAnsi"/>
          <w:bCs/>
          <w:color w:val="FF0000"/>
          <w:lang w:eastAsia="pl-PL"/>
        </w:rPr>
        <w:t>denatonium</w:t>
      </w:r>
      <w:proofErr w:type="spellEnd"/>
      <w:r w:rsidR="002A1A39" w:rsidRPr="002A1A39">
        <w:rPr>
          <w:bCs/>
          <w:color w:val="FF0000"/>
        </w:rPr>
        <w:t xml:space="preserve"> </w:t>
      </w:r>
      <w:r w:rsidR="002A1A39">
        <w:rPr>
          <w:bCs/>
          <w:color w:val="FF0000"/>
        </w:rPr>
        <w:t xml:space="preserve">nie znajduje się na liście WYSOCE NIEBEZPIECZNYCH PESTYCYDÓW </w:t>
      </w:r>
      <w:r w:rsidRPr="00C31A41">
        <w:rPr>
          <w:bCs/>
          <w:color w:val="FF0000"/>
        </w:rPr>
        <w:t xml:space="preserve"> według FSC, FSC-POL-30-001a EN, 1 maja 2019 r.</w:t>
      </w:r>
      <w:r w:rsidR="004E3A5C">
        <w:rPr>
          <w:bCs/>
          <w:color w:val="FF0000"/>
        </w:rPr>
        <w:t xml:space="preserve"> </w:t>
      </w:r>
      <w:r w:rsidR="00B05C88">
        <w:rPr>
          <w:bCs/>
          <w:color w:val="FF0000"/>
        </w:rPr>
        <w:t>Również p</w:t>
      </w:r>
      <w:r w:rsidR="004E3A5C" w:rsidRPr="004E3A5C">
        <w:rPr>
          <w:bCs/>
          <w:color w:val="FF0000"/>
        </w:rPr>
        <w:t xml:space="preserve">rzed użyciem pestycydu syntetycznego niewymienionego w wykazach FSC WNP, organizacja </w:t>
      </w:r>
      <w:r w:rsidR="00B05C88">
        <w:rPr>
          <w:bCs/>
          <w:color w:val="FF0000"/>
        </w:rPr>
        <w:t xml:space="preserve">jest </w:t>
      </w:r>
      <w:r w:rsidR="004E3A5C" w:rsidRPr="004E3A5C">
        <w:rPr>
          <w:bCs/>
          <w:color w:val="FF0000"/>
        </w:rPr>
        <w:t xml:space="preserve">zobowiązana przeprowadzić ocenę ryzyka środowiskowego i społecznego (ORŚIS) zgodnie z poniższymi punktami 4.12.2 i 4.12.6. </w:t>
      </w:r>
    </w:p>
    <w:p w14:paraId="12607C1D" w14:textId="77777777" w:rsidR="00E26FA4" w:rsidRPr="00C31A41" w:rsidRDefault="00E26FA4" w:rsidP="007C172F">
      <w:pPr>
        <w:spacing w:after="0" w:line="276" w:lineRule="auto"/>
        <w:jc w:val="both"/>
        <w:rPr>
          <w:b/>
          <w:bCs/>
          <w:color w:val="FF0000"/>
        </w:rPr>
      </w:pPr>
    </w:p>
    <w:p w14:paraId="6535D065" w14:textId="77777777" w:rsidR="00DA4268" w:rsidRDefault="00DA4268" w:rsidP="00DA4268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5C88A3D5" w14:textId="77777777" w:rsidR="00DA4268" w:rsidRPr="00F814D3" w:rsidRDefault="00DA4268" w:rsidP="00DA4268">
      <w:pPr>
        <w:rPr>
          <w:b/>
          <w:bCs/>
          <w:color w:val="FF0000"/>
        </w:rPr>
      </w:pPr>
      <w:r w:rsidRPr="00F814D3">
        <w:rPr>
          <w:bCs/>
          <w:color w:val="FF0000"/>
        </w:rPr>
        <w:t>Regionalna Dyrekcja Lasów Państwowych w Zielonej Górze (nr certyfikatu SGS-FM/COC-009010)</w:t>
      </w:r>
    </w:p>
    <w:p w14:paraId="45CDEFA7" w14:textId="77777777" w:rsidR="00DA4268" w:rsidRDefault="00DA4268" w:rsidP="00DA4268">
      <w:pPr>
        <w:rPr>
          <w:b/>
          <w:bCs/>
        </w:rPr>
      </w:pPr>
    </w:p>
    <w:p w14:paraId="086FA952" w14:textId="77777777" w:rsidR="00DA4268" w:rsidRDefault="00DA4268" w:rsidP="00DA4268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3EBF70F3" w14:textId="77777777" w:rsidR="00DA4268" w:rsidRPr="00F814D3" w:rsidRDefault="00DA4268" w:rsidP="00DA4268">
      <w:pPr>
        <w:jc w:val="both"/>
        <w:rPr>
          <w:bCs/>
          <w:color w:val="FF0000"/>
        </w:rPr>
      </w:pPr>
      <w:r w:rsidRPr="00F814D3">
        <w:rPr>
          <w:bCs/>
          <w:color w:val="FF0000"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70D4C122" w14:textId="77777777" w:rsidR="002179BC" w:rsidRPr="005D1758" w:rsidRDefault="002179BC" w:rsidP="002179BC">
      <w:pPr>
        <w:jc w:val="both"/>
        <w:rPr>
          <w:rFonts w:cs="Arial"/>
        </w:rPr>
      </w:pPr>
    </w:p>
    <w:p w14:paraId="2D022DB0" w14:textId="77777777" w:rsidR="002179BC" w:rsidRPr="005D1758" w:rsidRDefault="002179BC" w:rsidP="002179BC">
      <w:pPr>
        <w:jc w:val="both"/>
        <w:rPr>
          <w:b/>
          <w:bCs/>
        </w:rPr>
      </w:pPr>
      <w:r w:rsidRPr="005D1758">
        <w:rPr>
          <w:b/>
          <w:bCs/>
        </w:rPr>
        <w:t>Ocena ryzyka środowiskowego i społecznego (ORŚIS) podzielona została na trzy części zgodnie z FSC-POL-30-001 V3-0</w:t>
      </w:r>
    </w:p>
    <w:p w14:paraId="479F87FD" w14:textId="20FCC0AC" w:rsidR="002179BC" w:rsidRDefault="002179BC">
      <w:pPr>
        <w:rPr>
          <w:rFonts w:cs="Arial"/>
        </w:rPr>
      </w:pPr>
    </w:p>
    <w:p w14:paraId="4E30C096" w14:textId="77777777" w:rsidR="00606A36" w:rsidRPr="005D1758" w:rsidRDefault="00606A36" w:rsidP="0086182E">
      <w:pPr>
        <w:jc w:val="both"/>
        <w:rPr>
          <w:rFonts w:cs="Arial"/>
        </w:rPr>
      </w:pPr>
    </w:p>
    <w:p w14:paraId="3F5925DD" w14:textId="77777777" w:rsidR="0086182E" w:rsidRPr="005D1758" w:rsidRDefault="0086182E" w:rsidP="00606A36">
      <w:pPr>
        <w:pStyle w:val="Default"/>
        <w:rPr>
          <w:rFonts w:asciiTheme="minorHAnsi" w:eastAsia="Calibri" w:hAnsiTheme="minorHAnsi"/>
          <w:b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Cześć I</w:t>
      </w:r>
    </w:p>
    <w:p w14:paraId="5A0E744A" w14:textId="77777777" w:rsidR="0086182E" w:rsidRPr="005D1758" w:rsidRDefault="0086182E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Ramy ORŚIS: rola Organizacji </w:t>
      </w:r>
      <w:r w:rsidR="00F37C0C" w:rsidRPr="005D1758">
        <w:rPr>
          <w:rFonts w:asciiTheme="minorHAnsi" w:eastAsia="Calibri" w:hAnsiTheme="minorHAnsi"/>
          <w:color w:val="000000" w:themeColor="text1"/>
          <w:sz w:val="22"/>
        </w:rPr>
        <w:t xml:space="preserve">- </w:t>
      </w: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pkt. 4.12 </w:t>
      </w:r>
      <w:r w:rsidR="00F37C0C" w:rsidRPr="005D1758">
        <w:rPr>
          <w:rFonts w:asciiTheme="minorHAnsi" w:eastAsia="Calibri" w:hAnsiTheme="minorHAnsi"/>
          <w:color w:val="000000" w:themeColor="text1"/>
          <w:sz w:val="22"/>
        </w:rPr>
        <w:t xml:space="preserve">str. 21 </w:t>
      </w: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polityki </w:t>
      </w:r>
      <w:r w:rsidRPr="005D1758">
        <w:rPr>
          <w:rFonts w:asciiTheme="minorHAnsi" w:eastAsia="Calibri" w:hAnsiTheme="minorHAnsi"/>
          <w:bCs/>
          <w:color w:val="000000" w:themeColor="text1"/>
          <w:sz w:val="22"/>
        </w:rPr>
        <w:t xml:space="preserve">pestycydowej FSC </w:t>
      </w:r>
    </w:p>
    <w:p w14:paraId="77900F06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</w:p>
    <w:p w14:paraId="6C9D58B5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Część II</w:t>
      </w:r>
    </w:p>
    <w:p w14:paraId="6B60F796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  <w:r w:rsidRPr="005D1758">
        <w:rPr>
          <w:rFonts w:asciiTheme="minorHAnsi" w:eastAsia="Calibri" w:hAnsiTheme="minorHAnsi"/>
          <w:color w:val="000000" w:themeColor="text1"/>
          <w:sz w:val="22"/>
        </w:rPr>
        <w:t xml:space="preserve">Załącznik 2. Minimalny wykaz zagrożeń, elementów i zmiennych, które należy uwzględnić w ocenie ryzyka środowiskowego i społecznego – na podstawie pkt 4.12.3 str. 39 polityki </w:t>
      </w:r>
      <w:r w:rsidRPr="005D1758">
        <w:rPr>
          <w:rFonts w:asciiTheme="minorHAnsi" w:eastAsia="Calibri" w:hAnsiTheme="minorHAnsi"/>
          <w:bCs/>
          <w:color w:val="000000" w:themeColor="text1"/>
          <w:sz w:val="22"/>
        </w:rPr>
        <w:t xml:space="preserve">pestycydowej FSC </w:t>
      </w:r>
    </w:p>
    <w:p w14:paraId="02071BA0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bCs/>
          <w:color w:val="000000" w:themeColor="text1"/>
          <w:sz w:val="22"/>
        </w:rPr>
      </w:pPr>
    </w:p>
    <w:p w14:paraId="65BB6C6A" w14:textId="77777777" w:rsidR="00F37C0C" w:rsidRPr="005D1758" w:rsidRDefault="00F37C0C" w:rsidP="00F37C0C">
      <w:pPr>
        <w:pStyle w:val="Default"/>
        <w:rPr>
          <w:rFonts w:asciiTheme="minorHAnsi" w:eastAsia="Calibri" w:hAnsiTheme="minorHAnsi"/>
          <w:color w:val="000000" w:themeColor="text1"/>
          <w:sz w:val="22"/>
        </w:rPr>
      </w:pPr>
      <w:r w:rsidRPr="005D1758">
        <w:rPr>
          <w:rFonts w:asciiTheme="minorHAnsi" w:eastAsia="Calibri" w:hAnsiTheme="minorHAnsi"/>
          <w:b/>
          <w:bCs/>
          <w:color w:val="000000" w:themeColor="text1"/>
          <w:sz w:val="22"/>
        </w:rPr>
        <w:t>Część III</w:t>
      </w:r>
    </w:p>
    <w:p w14:paraId="623B0D8D" w14:textId="77777777" w:rsidR="00F37C0C" w:rsidRPr="005D1758" w:rsidRDefault="0086182E" w:rsidP="00F37C0C">
      <w:pPr>
        <w:rPr>
          <w:rFonts w:eastAsia="Calibri" w:cs="Arial"/>
          <w:color w:val="000000" w:themeColor="text1"/>
          <w:szCs w:val="24"/>
        </w:rPr>
      </w:pPr>
      <w:r w:rsidRPr="005D1758">
        <w:rPr>
          <w:rFonts w:eastAsia="Calibri" w:cs="Arial"/>
          <w:color w:val="000000" w:themeColor="text1"/>
          <w:szCs w:val="24"/>
        </w:rPr>
        <w:t>Ramy oceny ryzyka środowiskowego i społecznego (ORŚIS)</w:t>
      </w:r>
      <w:r w:rsidR="00F37C0C" w:rsidRPr="005D1758">
        <w:rPr>
          <w:rFonts w:eastAsia="Calibri" w:cs="Arial"/>
          <w:color w:val="000000" w:themeColor="text1"/>
          <w:szCs w:val="24"/>
        </w:rPr>
        <w:t xml:space="preserve"> - Tabela 2. (część dla posiadacza certyfikatu, jednostki gospodarowania) – szablon str. 26 polityki pestycydowej FSC</w:t>
      </w:r>
    </w:p>
    <w:p w14:paraId="0E83D269" w14:textId="77777777" w:rsidR="007B568B" w:rsidRPr="005D1758" w:rsidRDefault="00C23B4D">
      <w:pPr>
        <w:rPr>
          <w:b/>
          <w:bCs/>
        </w:rPr>
      </w:pPr>
      <w:r>
        <w:rPr>
          <w:b/>
          <w:bCs/>
        </w:rPr>
        <w:t>Tej części nie wypełnia się. Należy postępować zgodnie z zawartymi tam zapisami.</w:t>
      </w:r>
      <w:r w:rsidR="007B568B" w:rsidRPr="005D1758">
        <w:rPr>
          <w:b/>
          <w:bCs/>
        </w:rPr>
        <w:br w:type="page"/>
      </w:r>
    </w:p>
    <w:p w14:paraId="722BC71B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14824328" w14:textId="77777777" w:rsidR="00BE4E1B" w:rsidRPr="005D1758" w:rsidRDefault="00F305AD" w:rsidP="00F305AD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UWAGA! O</w:t>
      </w:r>
      <w:r w:rsidR="00C37558" w:rsidRPr="005D1758">
        <w:rPr>
          <w:rFonts w:asciiTheme="minorHAnsi" w:hAnsiTheme="minorHAnsi"/>
          <w:b/>
          <w:sz w:val="22"/>
          <w:szCs w:val="22"/>
        </w:rPr>
        <w:t xml:space="preserve">cena ryzyka </w:t>
      </w:r>
      <w:r w:rsidR="002E07FF" w:rsidRPr="005D1758">
        <w:rPr>
          <w:rFonts w:asciiTheme="minorHAnsi" w:hAnsiTheme="minorHAnsi"/>
          <w:b/>
          <w:sz w:val="22"/>
          <w:szCs w:val="22"/>
        </w:rPr>
        <w:t>jest</w:t>
      </w:r>
      <w:r w:rsidR="00C37558" w:rsidRPr="005D1758">
        <w:rPr>
          <w:rFonts w:asciiTheme="minorHAnsi" w:hAnsiTheme="minorHAnsi"/>
          <w:b/>
          <w:sz w:val="22"/>
          <w:szCs w:val="22"/>
        </w:rPr>
        <w:t xml:space="preserve"> funkcją toksyczności (która jest stałą globalną) i lokalnej ekspozycji na działanie pestycydu.</w:t>
      </w:r>
    </w:p>
    <w:p w14:paraId="6457222E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DC737F1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5EBA14B5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3B93CD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14600330" w14:textId="77777777" w:rsidR="007B568B" w:rsidRPr="005D1758" w:rsidRDefault="007B568B" w:rsidP="007B568B">
      <w:pPr>
        <w:pStyle w:val="Default"/>
        <w:rPr>
          <w:rFonts w:asciiTheme="minorHAnsi" w:hAnsiTheme="minorHAnsi"/>
        </w:rPr>
      </w:pPr>
    </w:p>
    <w:p w14:paraId="4266FE50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4.12 Organizacja ma obowiązek: </w:t>
      </w:r>
    </w:p>
    <w:p w14:paraId="04370D8C" w14:textId="77777777" w:rsidR="007B568B" w:rsidRPr="005D1758" w:rsidRDefault="007B568B" w:rsidP="007B568B">
      <w:pPr>
        <w:pStyle w:val="Default"/>
        <w:spacing w:after="14"/>
        <w:rPr>
          <w:rFonts w:asciiTheme="minorHAnsi" w:hAnsiTheme="minorHAnsi"/>
          <w:sz w:val="22"/>
          <w:szCs w:val="22"/>
        </w:rPr>
      </w:pPr>
    </w:p>
    <w:p w14:paraId="4F0F561A" w14:textId="77777777" w:rsidR="007B568B" w:rsidRPr="005D1758" w:rsidRDefault="007B568B" w:rsidP="007B568B">
      <w:pPr>
        <w:pStyle w:val="Default"/>
        <w:spacing w:after="14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1. Co do zasady traktować w sposób preferencyjny: </w:t>
      </w:r>
    </w:p>
    <w:p w14:paraId="1A66FDA9" w14:textId="77777777" w:rsidR="007B568B" w:rsidRPr="005D1758" w:rsidRDefault="007B568B" w:rsidP="007B568B">
      <w:pPr>
        <w:pStyle w:val="Default"/>
        <w:spacing w:after="14"/>
        <w:ind w:left="708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1. metody </w:t>
      </w:r>
      <w:proofErr w:type="spellStart"/>
      <w:r w:rsidRPr="005D1758">
        <w:rPr>
          <w:rFonts w:asciiTheme="minorHAnsi" w:hAnsiTheme="minorHAnsi"/>
          <w:sz w:val="22"/>
          <w:szCs w:val="22"/>
        </w:rPr>
        <w:t>niechemiczne</w:t>
      </w:r>
      <w:proofErr w:type="spellEnd"/>
      <w:r w:rsidRPr="005D1758">
        <w:rPr>
          <w:rFonts w:asciiTheme="minorHAnsi" w:hAnsiTheme="minorHAnsi"/>
          <w:sz w:val="22"/>
          <w:szCs w:val="22"/>
        </w:rPr>
        <w:t xml:space="preserve"> w stosunku do pestycydów syntetycznych, </w:t>
      </w:r>
    </w:p>
    <w:p w14:paraId="7C1E0A8B" w14:textId="77777777" w:rsidR="007B568B" w:rsidRPr="005D1758" w:rsidRDefault="007B568B" w:rsidP="007B568B">
      <w:pPr>
        <w:pStyle w:val="Default"/>
        <w:spacing w:after="14"/>
        <w:ind w:left="708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2. pestycydy syntetyczne niewymienione w wykazach FSC WNP w stosunku do pestycydów wymienionych w wykazach FSC WNP, oraz </w:t>
      </w:r>
    </w:p>
    <w:p w14:paraId="278761A5" w14:textId="77777777" w:rsidR="007B568B" w:rsidRPr="005D1758" w:rsidRDefault="007B568B" w:rsidP="007B568B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3. WNP objęte ograniczeniami przez FSC w stosunku do WNP objętych ścisłymi ograniczeniami przez FSC. </w:t>
      </w:r>
    </w:p>
    <w:p w14:paraId="0FB9C731" w14:textId="77777777" w:rsidR="00DF794B" w:rsidRPr="005D1758" w:rsidRDefault="00DF794B" w:rsidP="007B568B">
      <w:pPr>
        <w:pStyle w:val="Default"/>
        <w:ind w:left="708"/>
        <w:rPr>
          <w:rFonts w:asciiTheme="minorHAnsi" w:hAnsiTheme="minorHAnsi"/>
          <w:sz w:val="22"/>
          <w:szCs w:val="22"/>
        </w:rPr>
      </w:pPr>
    </w:p>
    <w:p w14:paraId="651B6AE1" w14:textId="77777777" w:rsidR="00DF794B" w:rsidRPr="004E3A5C" w:rsidRDefault="00DF794B" w:rsidP="00F45618">
      <w:pPr>
        <w:pStyle w:val="Default"/>
        <w:spacing w:after="14"/>
        <w:rPr>
          <w:rFonts w:ascii="Calibri" w:hAnsi="Calibri" w:cs="Calibri"/>
          <w:color w:val="FF0000"/>
          <w:sz w:val="22"/>
          <w:szCs w:val="22"/>
        </w:rPr>
      </w:pPr>
      <w:r w:rsidRPr="004E3A5C">
        <w:rPr>
          <w:rFonts w:ascii="Calibri" w:hAnsi="Calibri" w:cs="Calibri"/>
          <w:color w:val="FF0000"/>
          <w:sz w:val="22"/>
          <w:szCs w:val="22"/>
        </w:rPr>
        <w:t>INTEGROWANA OCHRONA LASU</w:t>
      </w:r>
    </w:p>
    <w:p w14:paraId="67E02FE6" w14:textId="77777777" w:rsidR="00FD5C67" w:rsidRDefault="00DF794B" w:rsidP="00F45618">
      <w:pPr>
        <w:pStyle w:val="Default"/>
        <w:spacing w:after="14"/>
        <w:rPr>
          <w:rFonts w:asciiTheme="minorHAnsi" w:hAnsiTheme="minorHAnsi"/>
          <w:color w:val="FF0000"/>
          <w:sz w:val="22"/>
          <w:szCs w:val="22"/>
        </w:rPr>
      </w:pPr>
      <w:r w:rsidRPr="004E3A5C">
        <w:rPr>
          <w:rFonts w:ascii="Calibri" w:hAnsi="Calibri" w:cs="Calibri"/>
          <w:color w:val="FF0000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4E3A5C">
        <w:rPr>
          <w:rFonts w:ascii="Calibri" w:hAnsi="Calibri" w:cs="Calibri"/>
          <w:color w:val="FF0000"/>
          <w:sz w:val="22"/>
          <w:szCs w:val="22"/>
        </w:rPr>
        <w:t>MRiRW</w:t>
      </w:r>
      <w:proofErr w:type="spellEnd"/>
      <w:r w:rsidRPr="004E3A5C">
        <w:rPr>
          <w:rFonts w:ascii="Calibri" w:hAnsi="Calibri" w:cs="Calibri"/>
          <w:color w:val="FF0000"/>
          <w:sz w:val="22"/>
          <w:szCs w:val="22"/>
        </w:rPr>
        <w:t>) z dnia 18 kwietnia 2013 r. W integrowanej ochronie roślin głównym celem wszystkich zabiegów pozostaje roślina.</w:t>
      </w:r>
      <w:r w:rsidR="00FD5C67" w:rsidRPr="00FD5C6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F18F7">
        <w:rPr>
          <w:rFonts w:asciiTheme="minorHAnsi" w:hAnsiTheme="minorHAnsi"/>
          <w:color w:val="FF0000"/>
          <w:sz w:val="22"/>
          <w:szCs w:val="22"/>
        </w:rPr>
        <w:t>Ta metoda łączy ze sobą wszystkie metody i sposoby ochrony lasu minimalizujące ryzyko powstania szkód mających charakter zarówno ekologiczny jak i ekonomiczny.</w:t>
      </w:r>
    </w:p>
    <w:p w14:paraId="1E9A758E" w14:textId="77777777" w:rsidR="00FD5C67" w:rsidRPr="005D1758" w:rsidRDefault="00FD5C67" w:rsidP="00F45618">
      <w:pPr>
        <w:pStyle w:val="Default"/>
        <w:spacing w:after="14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W związku z wprowadzeniem tych przepisów, na zlecenie Dyrekcji Generalnej Lasów Państwowych zostały opracowane dwie metodyki dotyczące integrowanej ochrony drzewostanów iglastych i liściastych, dostępne na stronach internetowych:</w:t>
      </w:r>
    </w:p>
    <w:p w14:paraId="269C8AC0" w14:textId="77777777" w:rsidR="00FD5C67" w:rsidRPr="00C56B12" w:rsidRDefault="00FD5C67" w:rsidP="00F45618">
      <w:pPr>
        <w:pStyle w:val="Default"/>
        <w:numPr>
          <w:ilvl w:val="0"/>
          <w:numId w:val="2"/>
        </w:numPr>
        <w:spacing w:after="14"/>
        <w:ind w:left="0" w:firstLine="0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PLATFORMY SYGNALIZACJI AGROFAGÓW: https://www.agrofagi.com.pl/ → metodyki i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56B12">
        <w:rPr>
          <w:rFonts w:asciiTheme="minorHAnsi" w:hAnsiTheme="minorHAnsi"/>
          <w:color w:val="FF0000"/>
          <w:sz w:val="22"/>
          <w:szCs w:val="22"/>
        </w:rPr>
        <w:t>poradniki → metodyki integrowanej ochrony roślin → inne</w:t>
      </w:r>
    </w:p>
    <w:p w14:paraId="5E83AA23" w14:textId="77777777" w:rsidR="00FD5C67" w:rsidRPr="005D1758" w:rsidRDefault="00FD5C67" w:rsidP="00F45618">
      <w:pPr>
        <w:pStyle w:val="Default"/>
        <w:numPr>
          <w:ilvl w:val="0"/>
          <w:numId w:val="2"/>
        </w:numPr>
        <w:spacing w:after="14"/>
        <w:ind w:left="0" w:firstLine="0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INSTYTUTU BADAWCZEGO LEŚNICTWA www.ibles.pl → Doradztwo i usługi;</w:t>
      </w:r>
    </w:p>
    <w:p w14:paraId="7C22D801" w14:textId="77777777" w:rsidR="00FD5C67" w:rsidRPr="005D1758" w:rsidRDefault="00FD5C67" w:rsidP="00F45618">
      <w:pPr>
        <w:pStyle w:val="Default"/>
        <w:numPr>
          <w:ilvl w:val="0"/>
          <w:numId w:val="2"/>
        </w:numPr>
        <w:spacing w:after="14"/>
        <w:ind w:left="0" w:firstLine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LASÓW PAŃ</w:t>
      </w:r>
      <w:r w:rsidRPr="005D1758">
        <w:rPr>
          <w:rFonts w:asciiTheme="minorHAnsi" w:hAnsiTheme="minorHAnsi"/>
          <w:color w:val="FF0000"/>
          <w:sz w:val="22"/>
          <w:szCs w:val="22"/>
        </w:rPr>
        <w:t>STWOWYCH.</w:t>
      </w:r>
    </w:p>
    <w:p w14:paraId="5FC58FA7" w14:textId="77777777" w:rsidR="00DF794B" w:rsidRPr="004E3A5C" w:rsidRDefault="00DF794B" w:rsidP="00F45618">
      <w:pPr>
        <w:pStyle w:val="Default"/>
        <w:spacing w:after="14"/>
        <w:rPr>
          <w:rFonts w:ascii="Calibri" w:hAnsi="Calibri" w:cs="Calibri"/>
          <w:color w:val="FF0000"/>
          <w:sz w:val="22"/>
          <w:szCs w:val="22"/>
        </w:rPr>
      </w:pPr>
    </w:p>
    <w:p w14:paraId="3924EC16" w14:textId="77777777" w:rsidR="00C31A41" w:rsidRPr="004E3A5C" w:rsidRDefault="00DF794B" w:rsidP="00F45618">
      <w:pPr>
        <w:pStyle w:val="Default"/>
        <w:spacing w:after="14"/>
        <w:jc w:val="both"/>
        <w:rPr>
          <w:rFonts w:ascii="Calibri" w:hAnsi="Calibri" w:cs="Calibri"/>
          <w:color w:val="FF0000"/>
          <w:sz w:val="22"/>
          <w:szCs w:val="22"/>
        </w:rPr>
      </w:pPr>
      <w:r w:rsidRPr="004E3A5C">
        <w:rPr>
          <w:rFonts w:ascii="Calibri" w:hAnsi="Calibri" w:cs="Calibri"/>
          <w:color w:val="FF0000"/>
          <w:sz w:val="22"/>
          <w:szCs w:val="22"/>
        </w:rPr>
        <w:t>Bardzo ważnym elementem tej koncepcji jest profilaktyka a następnie zabiegi ratownicze, w których pierwszeństwo mają metody mechaniczne, biologiczne i biotechniczne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 xml:space="preserve">. W przypadku zabezpieczania przed zgryzaniem </w:t>
      </w:r>
      <w:r w:rsidR="00EA0038">
        <w:rPr>
          <w:rFonts w:ascii="Calibri" w:hAnsi="Calibri" w:cs="Calibri"/>
          <w:color w:val="FF0000"/>
          <w:sz w:val="22"/>
          <w:szCs w:val="22"/>
        </w:rPr>
        <w:t xml:space="preserve">- 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>metody mechaniczne nie zawsze są skuteczne jak np. zabezpieczanie upraw jednorocznych</w:t>
      </w:r>
      <w:r w:rsidR="00EA0038">
        <w:rPr>
          <w:rFonts w:ascii="Calibri" w:hAnsi="Calibri" w:cs="Calibri"/>
          <w:color w:val="FF0000"/>
          <w:sz w:val="22"/>
          <w:szCs w:val="22"/>
        </w:rPr>
        <w:t>: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 xml:space="preserve"> siateczkami, pakułami czy wełną owczą. Część tych zabezpieczeń </w:t>
      </w:r>
      <w:r w:rsidR="0082299F">
        <w:rPr>
          <w:rFonts w:ascii="Calibri" w:hAnsi="Calibri" w:cs="Calibri"/>
          <w:color w:val="FF0000"/>
          <w:sz w:val="22"/>
          <w:szCs w:val="22"/>
        </w:rPr>
        <w:t xml:space="preserve">może być zrzucona 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>podczas przemieszczania się zwierzyny po uprawie. Uprawy jednoroczne najlepiej zabezpieczać repelentem, ponieważ przylega on ściśle do wierzchołka ochranianego drzewka i nie może być z niego</w:t>
      </w:r>
      <w:r w:rsidR="0082299F">
        <w:rPr>
          <w:rFonts w:ascii="Calibri" w:hAnsi="Calibri" w:cs="Calibri"/>
          <w:color w:val="FF0000"/>
          <w:sz w:val="22"/>
          <w:szCs w:val="22"/>
        </w:rPr>
        <w:t xml:space="preserve"> usunięty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 xml:space="preserve">. </w:t>
      </w:r>
      <w:r w:rsidR="00FD5C67" w:rsidRPr="004E3A5C">
        <w:rPr>
          <w:rFonts w:ascii="Calibri" w:hAnsi="Calibri" w:cs="Calibri"/>
          <w:color w:val="FF0000"/>
          <w:sz w:val="22"/>
          <w:szCs w:val="22"/>
        </w:rPr>
        <w:t>Również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 xml:space="preserve"> grodze</w:t>
      </w:r>
      <w:r w:rsidR="00C73E02">
        <w:rPr>
          <w:rFonts w:ascii="Calibri" w:hAnsi="Calibri" w:cs="Calibri"/>
          <w:color w:val="FF0000"/>
          <w:sz w:val="22"/>
          <w:szCs w:val="22"/>
        </w:rPr>
        <w:t>nie upraw może nie zabezpieczać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 xml:space="preserve"> upra</w:t>
      </w:r>
      <w:r w:rsidR="00C73E02">
        <w:rPr>
          <w:rFonts w:ascii="Calibri" w:hAnsi="Calibri" w:cs="Calibri"/>
          <w:color w:val="FF0000"/>
          <w:sz w:val="22"/>
          <w:szCs w:val="22"/>
        </w:rPr>
        <w:t xml:space="preserve">wy </w:t>
      </w:r>
      <w:r w:rsidR="00C73E02" w:rsidRPr="004E3A5C">
        <w:rPr>
          <w:rFonts w:ascii="Calibri" w:hAnsi="Calibri" w:cs="Calibri"/>
          <w:color w:val="FF0000"/>
          <w:sz w:val="22"/>
          <w:szCs w:val="22"/>
        </w:rPr>
        <w:t xml:space="preserve">w przypadku uszkodzenia </w:t>
      </w:r>
      <w:r w:rsidR="00C73E02">
        <w:rPr>
          <w:rFonts w:ascii="Calibri" w:hAnsi="Calibri" w:cs="Calibri"/>
          <w:color w:val="FF0000"/>
          <w:sz w:val="22"/>
          <w:szCs w:val="22"/>
        </w:rPr>
        <w:t>siatki grodzenia oraz w odniesieniu do łosi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>, które wymagaj</w:t>
      </w:r>
      <w:r w:rsidR="00C73E02">
        <w:rPr>
          <w:rFonts w:ascii="Calibri" w:hAnsi="Calibri" w:cs="Calibri"/>
          <w:color w:val="FF0000"/>
          <w:sz w:val="22"/>
          <w:szCs w:val="22"/>
        </w:rPr>
        <w:t>ą bardzo wysokiego grodzenia</w:t>
      </w:r>
      <w:r w:rsidR="004E3A5C" w:rsidRPr="004E3A5C">
        <w:rPr>
          <w:rFonts w:ascii="Calibri" w:hAnsi="Calibri" w:cs="Calibri"/>
          <w:color w:val="FF0000"/>
          <w:sz w:val="22"/>
          <w:szCs w:val="22"/>
        </w:rPr>
        <w:t xml:space="preserve">. </w:t>
      </w:r>
      <w:r w:rsidR="00C73E02">
        <w:rPr>
          <w:rFonts w:ascii="Calibri" w:hAnsi="Calibri" w:cs="Calibri"/>
          <w:color w:val="FF0000"/>
          <w:sz w:val="22"/>
          <w:szCs w:val="22"/>
        </w:rPr>
        <w:t xml:space="preserve">Jeśli chodzi o zastosowanie chemicznych repelentów warto je zmieniać ponieważ zwierzęta </w:t>
      </w:r>
      <w:r w:rsidR="00F50A56">
        <w:rPr>
          <w:rFonts w:ascii="Calibri" w:hAnsi="Calibri" w:cs="Calibri"/>
          <w:color w:val="FF0000"/>
          <w:sz w:val="22"/>
          <w:szCs w:val="22"/>
        </w:rPr>
        <w:t>przyzwyczajają się do nich i z czasem stają się nieskuteczne.</w:t>
      </w:r>
    </w:p>
    <w:p w14:paraId="5881C97A" w14:textId="77777777" w:rsidR="00C31A41" w:rsidRPr="004E3A5C" w:rsidRDefault="00C31A41" w:rsidP="00F45618">
      <w:pPr>
        <w:pStyle w:val="Default"/>
        <w:spacing w:after="14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61B4416" w14:textId="77777777" w:rsidR="00C31A41" w:rsidRDefault="00C31A41" w:rsidP="00FD5C67">
      <w:pPr>
        <w:pStyle w:val="Default"/>
        <w:spacing w:after="14"/>
        <w:rPr>
          <w:rFonts w:asciiTheme="minorHAnsi" w:hAnsiTheme="minorHAnsi"/>
          <w:color w:val="FF0000"/>
          <w:sz w:val="22"/>
          <w:szCs w:val="22"/>
        </w:rPr>
      </w:pPr>
    </w:p>
    <w:p w14:paraId="5F0FAFA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7D23AD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5D1758">
        <w:rPr>
          <w:rFonts w:asciiTheme="minorHAnsi" w:hAnsiTheme="minorHAnsi"/>
          <w:sz w:val="22"/>
          <w:szCs w:val="22"/>
        </w:rPr>
        <w:t>ang.SIR</w:t>
      </w:r>
      <w:proofErr w:type="spellEnd"/>
      <w:r w:rsidRPr="005D1758">
        <w:rPr>
          <w:rFonts w:asciiTheme="minorHAnsi" w:hAnsiTheme="minorHAnsi"/>
          <w:sz w:val="22"/>
          <w:szCs w:val="22"/>
        </w:rPr>
        <w:t xml:space="preserve">) w ramach zintegrowanej ochrony przed szkodnikami w celu identyfikacji: metody zwalczania szkodników, chwastów lub chorób o najniższym ryzyku, warunków jej stosowania oraz ogólnych środków łagodzenia i monitorowania w celu zminimalizowania ryzyka. </w:t>
      </w:r>
    </w:p>
    <w:p w14:paraId="5728F5AB" w14:textId="77777777" w:rsidR="00E41379" w:rsidRPr="005D1758" w:rsidRDefault="00E413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96582C0" w14:textId="77777777" w:rsidR="00E41379" w:rsidRPr="005D1758" w:rsidRDefault="00F305A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Oceny prowadzone są na bieżącą zgodnie z koncepcją INTEGROWANEJ OCHRONY LASU</w:t>
      </w:r>
    </w:p>
    <w:p w14:paraId="2655F397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A6EBAA7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lastRenderedPageBreak/>
        <w:t>3. Uwzględnić w swojej ocenie ORŚIS minimalny wykaz rodzajów zagrożeń, elementów i zmiennych ekspo</w:t>
      </w:r>
      <w:r w:rsidR="00E41379" w:rsidRPr="005D1758">
        <w:rPr>
          <w:rFonts w:asciiTheme="minorHAnsi" w:hAnsiTheme="minorHAnsi"/>
          <w:sz w:val="22"/>
          <w:szCs w:val="22"/>
        </w:rPr>
        <w:t>zycji opisanych w Załączniku 2.</w:t>
      </w:r>
    </w:p>
    <w:p w14:paraId="14FB677F" w14:textId="77777777" w:rsidR="00E41379" w:rsidRPr="005D1758" w:rsidRDefault="00E41379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BBE29EA" w14:textId="77777777" w:rsidR="00E41379" w:rsidRPr="005D1758" w:rsidRDefault="00E41379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W dalszej części opracowania.</w:t>
      </w:r>
    </w:p>
    <w:p w14:paraId="195AA10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4DFFA5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4. Wybrać opcję, która wykazuje najmniej szkód społecznych i środowiskowych, większą skuteczność i równe lub większe kor</w:t>
      </w:r>
      <w:r w:rsidR="0060498D" w:rsidRPr="005D1758">
        <w:rPr>
          <w:rFonts w:asciiTheme="minorHAnsi" w:hAnsiTheme="minorHAnsi"/>
          <w:sz w:val="22"/>
          <w:szCs w:val="22"/>
        </w:rPr>
        <w:t>zyści społeczne i środowiskowe.</w:t>
      </w:r>
    </w:p>
    <w:p w14:paraId="5F936D96" w14:textId="77777777" w:rsidR="0060498D" w:rsidRPr="005D1758" w:rsidRDefault="0060498D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5E0041C" w14:textId="77777777" w:rsidR="0060498D" w:rsidRPr="005D1758" w:rsidRDefault="0060498D" w:rsidP="009A13DB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Biorąc pod uwagę aspekty społeczne, ekologiczne i ekonomiczne stosowanie </w:t>
      </w:r>
      <w:r w:rsidR="00FD5C67">
        <w:rPr>
          <w:rFonts w:asciiTheme="minorHAnsi" w:hAnsiTheme="minorHAnsi"/>
          <w:color w:val="FF0000"/>
          <w:sz w:val="22"/>
          <w:szCs w:val="22"/>
        </w:rPr>
        <w:t>repelentów</w:t>
      </w:r>
      <w:r w:rsidRPr="005D1758">
        <w:rPr>
          <w:rFonts w:asciiTheme="minorHAnsi" w:hAnsiTheme="minorHAnsi"/>
          <w:color w:val="FF0000"/>
          <w:sz w:val="22"/>
          <w:szCs w:val="22"/>
        </w:rPr>
        <w:t xml:space="preserve"> jest obecnie najkorzystniejsze</w:t>
      </w:r>
      <w:r w:rsidR="00214D40">
        <w:rPr>
          <w:rFonts w:asciiTheme="minorHAnsi" w:hAnsiTheme="minorHAnsi"/>
          <w:color w:val="FF0000"/>
          <w:sz w:val="22"/>
          <w:szCs w:val="22"/>
        </w:rPr>
        <w:t xml:space="preserve"> do zabezpieczenia</w:t>
      </w:r>
      <w:r w:rsidR="00750B6E" w:rsidRPr="005D175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D5C67">
        <w:rPr>
          <w:rFonts w:asciiTheme="minorHAnsi" w:hAnsiTheme="minorHAnsi"/>
          <w:color w:val="FF0000"/>
          <w:sz w:val="22"/>
          <w:szCs w:val="22"/>
        </w:rPr>
        <w:t>młodych sadzonek</w:t>
      </w:r>
      <w:r w:rsidR="00750B6E" w:rsidRPr="005D1758">
        <w:rPr>
          <w:rFonts w:asciiTheme="minorHAnsi" w:hAnsiTheme="minorHAnsi"/>
          <w:color w:val="FF0000"/>
          <w:sz w:val="22"/>
          <w:szCs w:val="22"/>
        </w:rPr>
        <w:t xml:space="preserve"> w lesie.</w:t>
      </w:r>
      <w:r w:rsidR="00FD5C67">
        <w:rPr>
          <w:rFonts w:asciiTheme="minorHAnsi" w:hAnsiTheme="minorHAnsi"/>
          <w:color w:val="FF0000"/>
          <w:sz w:val="22"/>
          <w:szCs w:val="22"/>
        </w:rPr>
        <w:t xml:space="preserve"> Zabezpieczenia mechaniczne jak opisano w punkcie 4.12.1 </w:t>
      </w:r>
      <w:r w:rsidR="009A13DB">
        <w:rPr>
          <w:rFonts w:asciiTheme="minorHAnsi" w:hAnsiTheme="minorHAnsi"/>
          <w:color w:val="FF0000"/>
          <w:sz w:val="22"/>
          <w:szCs w:val="22"/>
        </w:rPr>
        <w:t>są</w:t>
      </w:r>
      <w:r w:rsidR="00EA0038">
        <w:rPr>
          <w:rFonts w:asciiTheme="minorHAnsi" w:hAnsiTheme="minorHAnsi"/>
          <w:color w:val="FF0000"/>
          <w:sz w:val="22"/>
          <w:szCs w:val="22"/>
        </w:rPr>
        <w:t xml:space="preserve"> nie zawsze skuteczne</w:t>
      </w:r>
      <w:r w:rsidR="00FD5C67">
        <w:rPr>
          <w:rFonts w:asciiTheme="minorHAnsi" w:hAnsiTheme="minorHAnsi"/>
          <w:color w:val="FF0000"/>
          <w:sz w:val="22"/>
          <w:szCs w:val="22"/>
        </w:rPr>
        <w:t>. Ponadto grodzenia w lesie bardzo często są uszkadzane przez grzybiarzy i sp</w:t>
      </w:r>
      <w:r w:rsidR="00EA0038">
        <w:rPr>
          <w:rFonts w:asciiTheme="minorHAnsi" w:hAnsiTheme="minorHAnsi"/>
          <w:color w:val="FF0000"/>
          <w:sz w:val="22"/>
          <w:szCs w:val="22"/>
        </w:rPr>
        <w:t>acerowiczów , którzy traktują tę</w:t>
      </w:r>
      <w:r w:rsidR="00FD5C67">
        <w:rPr>
          <w:rFonts w:asciiTheme="minorHAnsi" w:hAnsiTheme="minorHAnsi"/>
          <w:color w:val="FF0000"/>
          <w:sz w:val="22"/>
          <w:szCs w:val="22"/>
        </w:rPr>
        <w:t xml:space="preserve"> formę </w:t>
      </w:r>
      <w:r w:rsidR="009A13DB">
        <w:rPr>
          <w:rFonts w:asciiTheme="minorHAnsi" w:hAnsiTheme="minorHAnsi"/>
          <w:color w:val="FF0000"/>
          <w:sz w:val="22"/>
          <w:szCs w:val="22"/>
        </w:rPr>
        <w:t xml:space="preserve">zabezpieczeń </w:t>
      </w:r>
      <w:r w:rsidR="00FD5C67">
        <w:rPr>
          <w:rFonts w:asciiTheme="minorHAnsi" w:hAnsiTheme="minorHAnsi"/>
          <w:color w:val="FF0000"/>
          <w:sz w:val="22"/>
          <w:szCs w:val="22"/>
        </w:rPr>
        <w:t>jako ograniczenie ich dostępu do lasu.</w:t>
      </w:r>
    </w:p>
    <w:p w14:paraId="6E0A803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3E66460" w14:textId="77777777" w:rsidR="007029E2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5. Zachować zgodność z obowiązującymi międzynarodowymi i krajowymi wskaźnikami i progami dotyczącymi stosowania WNP.</w:t>
      </w:r>
    </w:p>
    <w:p w14:paraId="58A583FA" w14:textId="77777777" w:rsidR="007029E2" w:rsidRPr="005D1758" w:rsidRDefault="007029E2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60C4E423" w14:textId="77777777" w:rsidR="007B568B" w:rsidRPr="005D1758" w:rsidRDefault="007029E2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Zgodność zachowana.</w:t>
      </w:r>
      <w:r w:rsidR="007B568B" w:rsidRPr="005D175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C70F624" w14:textId="77777777" w:rsidR="003B5DE6" w:rsidRPr="005D1758" w:rsidRDefault="003B5DE6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149FC4B5" w14:textId="77777777" w:rsidR="00D9192F" w:rsidRPr="00D112DB" w:rsidRDefault="003B5DE6" w:rsidP="009A13DB">
      <w:pPr>
        <w:pStyle w:val="Default"/>
        <w:spacing w:line="276" w:lineRule="auto"/>
        <w:ind w:left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112DB">
        <w:rPr>
          <w:rFonts w:asciiTheme="minorHAnsi" w:hAnsiTheme="minorHAnsi"/>
          <w:color w:val="FF0000"/>
          <w:sz w:val="22"/>
          <w:szCs w:val="22"/>
        </w:rPr>
        <w:t xml:space="preserve">AKTUALNE </w:t>
      </w:r>
      <w:r w:rsidR="001F1D6D" w:rsidRPr="00D112DB">
        <w:rPr>
          <w:rFonts w:asciiTheme="minorHAnsi" w:hAnsiTheme="minorHAnsi"/>
          <w:color w:val="FF0000"/>
          <w:sz w:val="22"/>
          <w:szCs w:val="22"/>
        </w:rPr>
        <w:t>ZESTAWIENIE PRZEPISÓW DOTYCZĄCYCH</w:t>
      </w:r>
      <w:r w:rsidRPr="00D112DB">
        <w:rPr>
          <w:rFonts w:asciiTheme="minorHAnsi" w:hAnsiTheme="minorHAnsi"/>
          <w:color w:val="FF0000"/>
          <w:sz w:val="22"/>
          <w:szCs w:val="22"/>
        </w:rPr>
        <w:t xml:space="preserve"> OBROTU I STOSOWANIA ŚRODKÓW OCHRONY ROŚLIN </w:t>
      </w:r>
      <w:r w:rsidR="001F1D6D" w:rsidRPr="00D112DB">
        <w:rPr>
          <w:rFonts w:asciiTheme="minorHAnsi" w:hAnsiTheme="minorHAnsi"/>
          <w:color w:val="FF0000"/>
          <w:sz w:val="22"/>
          <w:szCs w:val="22"/>
        </w:rPr>
        <w:t xml:space="preserve">W LEŚNICTWIE </w:t>
      </w:r>
      <w:r w:rsidR="009155F3" w:rsidRPr="00D112DB">
        <w:rPr>
          <w:rFonts w:asciiTheme="minorHAnsi" w:hAnsiTheme="minorHAnsi"/>
          <w:color w:val="FF0000"/>
          <w:sz w:val="22"/>
          <w:szCs w:val="22"/>
        </w:rPr>
        <w:t>dostępne jest w broszurze ŚRODKI OCHRONY ROŚLIN ORAZ ŚRODKI BIOBÓJCZE DO STO</w:t>
      </w:r>
      <w:r w:rsidR="00FD5C67" w:rsidRPr="00D112DB">
        <w:rPr>
          <w:rFonts w:asciiTheme="minorHAnsi" w:hAnsiTheme="minorHAnsi"/>
          <w:color w:val="FF0000"/>
          <w:sz w:val="22"/>
          <w:szCs w:val="22"/>
        </w:rPr>
        <w:t>SOWANIA W LEŚNICTWIE W ROKU 2021</w:t>
      </w:r>
      <w:r w:rsidR="009155F3" w:rsidRPr="00D112DB">
        <w:rPr>
          <w:rFonts w:asciiTheme="minorHAnsi" w:hAnsiTheme="minorHAnsi"/>
          <w:color w:val="FF0000"/>
          <w:sz w:val="22"/>
          <w:szCs w:val="22"/>
        </w:rPr>
        <w:t xml:space="preserve"> wydawanej prz</w:t>
      </w:r>
      <w:r w:rsidR="009A13DB" w:rsidRPr="00D112DB">
        <w:rPr>
          <w:rFonts w:asciiTheme="minorHAnsi" w:hAnsiTheme="minorHAnsi"/>
          <w:color w:val="FF0000"/>
          <w:sz w:val="22"/>
          <w:szCs w:val="22"/>
        </w:rPr>
        <w:t xml:space="preserve">ez Instytut Badawczy Leśnictwa. </w:t>
      </w:r>
      <w:r w:rsidR="00D9192F" w:rsidRPr="00D112DB">
        <w:rPr>
          <w:rFonts w:asciiTheme="minorHAnsi" w:hAnsiTheme="minorHAnsi"/>
          <w:color w:val="FF0000"/>
          <w:sz w:val="22"/>
          <w:szCs w:val="22"/>
        </w:rPr>
        <w:t>.</w:t>
      </w:r>
    </w:p>
    <w:p w14:paraId="504A1085" w14:textId="77777777" w:rsidR="009A13DB" w:rsidRPr="00D112DB" w:rsidRDefault="009A13DB" w:rsidP="009A13D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112DB">
        <w:rPr>
          <w:rFonts w:asciiTheme="minorHAnsi" w:hAnsiTheme="minorHAnsi" w:cstheme="minorHAnsi"/>
          <w:color w:val="FF0000"/>
          <w:sz w:val="22"/>
          <w:szCs w:val="22"/>
        </w:rPr>
        <w:t>Obowiązującymi aktami prawnymi w tym zakresie są:</w:t>
      </w:r>
    </w:p>
    <w:p w14:paraId="4468A412" w14:textId="77777777" w:rsidR="009A13DB" w:rsidRPr="00D112DB" w:rsidRDefault="009A13DB" w:rsidP="009A13DB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6B13A3" w14:textId="77777777" w:rsidR="009A13DB" w:rsidRPr="00D112DB" w:rsidRDefault="009A13DB" w:rsidP="009A13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D112DB">
        <w:rPr>
          <w:rFonts w:cstheme="minorHAnsi"/>
          <w:color w:val="FF0000"/>
        </w:rPr>
        <w:t>Dyrektywa Parlamentu Europejskiego i Rady 2009/128/WE z dnia 21 października 2009 r. ustanawiająca ramy wspólnotowego działania na rzecz zrówn</w:t>
      </w:r>
      <w:r w:rsidR="00D9192F" w:rsidRPr="00D112DB">
        <w:rPr>
          <w:rFonts w:cstheme="minorHAnsi"/>
          <w:color w:val="FF0000"/>
        </w:rPr>
        <w:t>oważonego stosowania pestycydów;</w:t>
      </w:r>
    </w:p>
    <w:p w14:paraId="0FDD50E6" w14:textId="77777777" w:rsidR="009A13DB" w:rsidRPr="00D112DB" w:rsidRDefault="009A13DB" w:rsidP="009A13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D112DB">
        <w:rPr>
          <w:rFonts w:cstheme="minorHAnsi"/>
          <w:color w:val="FF0000"/>
        </w:rPr>
        <w:t xml:space="preserve">Rozporządzenie Parlamentu Europejskiego i Rady (WE) nr 1107/2009 z 21 października 2009 r. dotyczące wprowadzania do obrotu środków ochrony roślin i uchylające dyrektywy Rady 79/117/EWG i 91/414/EWG </w:t>
      </w:r>
      <w:r w:rsidR="00D9192F" w:rsidRPr="00D112DB">
        <w:rPr>
          <w:rFonts w:cstheme="minorHAnsi"/>
          <w:color w:val="FF0000"/>
        </w:rPr>
        <w:t>;</w:t>
      </w:r>
    </w:p>
    <w:p w14:paraId="3875449F" w14:textId="77777777" w:rsidR="00D9192F" w:rsidRPr="00D112DB" w:rsidRDefault="009A13DB" w:rsidP="00D91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D112DB">
        <w:rPr>
          <w:rFonts w:cstheme="minorHAnsi"/>
          <w:color w:val="FF0000"/>
        </w:rPr>
        <w:t>Ustawa o środkach ochrony roślin z 8 marca 2013 r.</w:t>
      </w:r>
      <w:r w:rsidR="00D9192F" w:rsidRPr="00D112DB">
        <w:rPr>
          <w:rFonts w:cstheme="minorHAnsi"/>
          <w:color w:val="FF0000"/>
        </w:rPr>
        <w:t xml:space="preserve"> oraz akty wykonawcze do tej ustawy, obowiązujące użytkowników profesjonalnych stosujących </w:t>
      </w:r>
      <w:proofErr w:type="spellStart"/>
      <w:r w:rsidR="00D9192F" w:rsidRPr="00D112DB">
        <w:rPr>
          <w:rFonts w:cstheme="minorHAnsi"/>
          <w:color w:val="FF0000"/>
        </w:rPr>
        <w:t>ś.o.r</w:t>
      </w:r>
      <w:proofErr w:type="spellEnd"/>
      <w:r w:rsidR="00D9192F" w:rsidRPr="00D112DB">
        <w:rPr>
          <w:rFonts w:cstheme="minorHAnsi"/>
          <w:color w:val="FF0000"/>
        </w:rPr>
        <w:t>.;</w:t>
      </w:r>
    </w:p>
    <w:p w14:paraId="05D66307" w14:textId="77777777" w:rsidR="00D9192F" w:rsidRPr="00D112DB" w:rsidRDefault="00D9192F" w:rsidP="00D91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D112DB">
        <w:rPr>
          <w:rFonts w:cstheme="minorHAnsi"/>
          <w:color w:val="FF0000"/>
        </w:rPr>
        <w:t xml:space="preserve">Decyzje (zezwolenia) </w:t>
      </w:r>
      <w:proofErr w:type="spellStart"/>
      <w:r w:rsidRPr="00D112DB">
        <w:rPr>
          <w:rFonts w:cstheme="minorHAnsi"/>
          <w:color w:val="FF0000"/>
        </w:rPr>
        <w:t>MRiRW</w:t>
      </w:r>
      <w:proofErr w:type="spellEnd"/>
      <w:r w:rsidRPr="00D112DB">
        <w:rPr>
          <w:rFonts w:cstheme="minorHAnsi"/>
          <w:color w:val="FF0000"/>
        </w:rPr>
        <w:t xml:space="preserve"> dopuszczające środki ochrony roślin do obrotu;</w:t>
      </w:r>
    </w:p>
    <w:p w14:paraId="0CA1C02A" w14:textId="77777777" w:rsidR="009A13DB" w:rsidRPr="00D112DB" w:rsidRDefault="009A13DB" w:rsidP="00D91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D112DB">
        <w:rPr>
          <w:rFonts w:cstheme="minorHAnsi"/>
          <w:color w:val="FF0000"/>
        </w:rPr>
        <w:t>Metodyka integrowanej ochrony drzewostanów iglastych</w:t>
      </w:r>
      <w:r w:rsidR="00D9192F" w:rsidRPr="00D112DB">
        <w:rPr>
          <w:rFonts w:cstheme="minorHAnsi"/>
          <w:color w:val="FF0000"/>
        </w:rPr>
        <w:t>;</w:t>
      </w:r>
    </w:p>
    <w:p w14:paraId="3455BCB6" w14:textId="77777777" w:rsidR="009A13DB" w:rsidRPr="00D112DB" w:rsidRDefault="009A13DB" w:rsidP="009A13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</w:rPr>
      </w:pPr>
      <w:r w:rsidRPr="00D112DB">
        <w:rPr>
          <w:rFonts w:cstheme="minorHAnsi"/>
          <w:color w:val="FF0000"/>
        </w:rPr>
        <w:t>Metodyka integrowanej ochrony drzewostanów liściastych</w:t>
      </w:r>
      <w:r w:rsidR="00D9192F" w:rsidRPr="00D112DB">
        <w:rPr>
          <w:rFonts w:cstheme="minorHAnsi"/>
          <w:color w:val="FF0000"/>
        </w:rPr>
        <w:t>.</w:t>
      </w:r>
    </w:p>
    <w:p w14:paraId="58356776" w14:textId="77777777" w:rsidR="009A13DB" w:rsidRPr="0081112E" w:rsidRDefault="009A13DB" w:rsidP="009A13DB">
      <w:pPr>
        <w:pStyle w:val="Default"/>
        <w:spacing w:line="276" w:lineRule="auto"/>
        <w:rPr>
          <w:color w:val="auto"/>
        </w:rPr>
      </w:pPr>
    </w:p>
    <w:p w14:paraId="13CEEF70" w14:textId="77777777" w:rsidR="00466B5D" w:rsidRPr="005D1758" w:rsidRDefault="00466B5D" w:rsidP="003B5DE6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04C45FCD" w14:textId="77777777" w:rsidR="007B568B" w:rsidRPr="008E2C1F" w:rsidRDefault="008E2C1F" w:rsidP="007B568B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8E2C1F">
        <w:rPr>
          <w:rFonts w:asciiTheme="minorHAnsi" w:hAnsiTheme="minorHAnsi" w:cstheme="minorHAnsi"/>
          <w:color w:val="FF0000"/>
          <w:sz w:val="22"/>
          <w:szCs w:val="22"/>
        </w:rPr>
        <w:t xml:space="preserve">Repelent </w:t>
      </w:r>
      <w:proofErr w:type="spellStart"/>
      <w:r w:rsidRPr="008E2C1F">
        <w:rPr>
          <w:rFonts w:asciiTheme="minorHAnsi" w:hAnsiTheme="minorHAnsi" w:cstheme="minorHAnsi"/>
          <w:color w:val="FF0000"/>
          <w:sz w:val="22"/>
          <w:szCs w:val="22"/>
        </w:rPr>
        <w:t>Silvacol</w:t>
      </w:r>
      <w:proofErr w:type="spellEnd"/>
      <w:r w:rsidRPr="008E2C1F">
        <w:rPr>
          <w:rFonts w:asciiTheme="minorHAnsi" w:hAnsiTheme="minorHAnsi" w:cstheme="minorHAnsi"/>
          <w:color w:val="FF0000"/>
          <w:sz w:val="22"/>
          <w:szCs w:val="22"/>
        </w:rPr>
        <w:t xml:space="preserve"> posiada </w:t>
      </w:r>
      <w:r w:rsidR="00B93512" w:rsidRPr="008E2C1F">
        <w:rPr>
          <w:rFonts w:asciiTheme="minorHAnsi" w:hAnsiTheme="minorHAnsi" w:cstheme="minorHAnsi"/>
          <w:color w:val="FF0000"/>
          <w:sz w:val="22"/>
          <w:szCs w:val="22"/>
        </w:rPr>
        <w:t>Atest PZH ważny do 26.01.2022</w:t>
      </w:r>
    </w:p>
    <w:p w14:paraId="7C9BF337" w14:textId="77777777" w:rsidR="00B93512" w:rsidRPr="008E2C1F" w:rsidRDefault="00B93512" w:rsidP="007B568B">
      <w:pPr>
        <w:pStyle w:val="Default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14:paraId="05CE8A9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 </w:t>
      </w:r>
    </w:p>
    <w:p w14:paraId="5FA72482" w14:textId="77777777" w:rsidR="006B4D14" w:rsidRPr="005D1758" w:rsidRDefault="006B4D1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A3079C7" w14:textId="77777777" w:rsidR="00D112DB" w:rsidRPr="00D112DB" w:rsidRDefault="006B4D14" w:rsidP="009B21C3">
      <w:pPr>
        <w:pStyle w:val="Default"/>
        <w:rPr>
          <w:rFonts w:asciiTheme="minorHAnsi" w:hAnsiTheme="minorHAnsi"/>
          <w:i/>
          <w:color w:val="FF0000"/>
          <w:sz w:val="22"/>
          <w:szCs w:val="22"/>
        </w:rPr>
      </w:pPr>
      <w:r w:rsidRPr="00D112DB">
        <w:rPr>
          <w:rFonts w:asciiTheme="minorHAnsi" w:hAnsiTheme="minorHAnsi"/>
          <w:color w:val="FF0000"/>
          <w:sz w:val="22"/>
          <w:szCs w:val="22"/>
        </w:rPr>
        <w:t>W planach operacyjnych uwzględniana jest ORŚIS</w:t>
      </w:r>
      <w:r w:rsidR="001536B1" w:rsidRPr="00D112DB">
        <w:rPr>
          <w:rFonts w:asciiTheme="minorHAnsi" w:hAnsiTheme="minorHAnsi"/>
          <w:color w:val="FF0000"/>
          <w:sz w:val="22"/>
          <w:szCs w:val="22"/>
        </w:rPr>
        <w:t>,</w:t>
      </w:r>
      <w:r w:rsidRPr="00D112DB">
        <w:rPr>
          <w:rFonts w:asciiTheme="minorHAnsi" w:hAnsiTheme="minorHAnsi"/>
          <w:color w:val="FF0000"/>
          <w:sz w:val="22"/>
          <w:szCs w:val="22"/>
        </w:rPr>
        <w:t xml:space="preserve"> a stosowanie </w:t>
      </w:r>
      <w:r w:rsidR="0070297B" w:rsidRPr="00D112DB">
        <w:rPr>
          <w:rFonts w:asciiTheme="minorHAnsi" w:hAnsiTheme="minorHAnsi"/>
          <w:color w:val="FF0000"/>
          <w:sz w:val="22"/>
          <w:szCs w:val="22"/>
        </w:rPr>
        <w:t xml:space="preserve">repelentu </w:t>
      </w:r>
      <w:proofErr w:type="spellStart"/>
      <w:r w:rsidR="0070297B" w:rsidRPr="00D112DB">
        <w:rPr>
          <w:rFonts w:asciiTheme="minorHAnsi" w:hAnsiTheme="minorHAnsi"/>
          <w:color w:val="FF0000"/>
          <w:sz w:val="22"/>
          <w:szCs w:val="22"/>
        </w:rPr>
        <w:t>Silvacol</w:t>
      </w:r>
      <w:proofErr w:type="spellEnd"/>
      <w:r w:rsidR="0070297B" w:rsidRPr="00D112DB">
        <w:rPr>
          <w:rFonts w:asciiTheme="minorHAnsi" w:hAnsiTheme="minorHAnsi"/>
          <w:color w:val="FF0000"/>
          <w:sz w:val="22"/>
          <w:szCs w:val="22"/>
        </w:rPr>
        <w:t xml:space="preserve"> odbywa się zgodnie z</w:t>
      </w:r>
      <w:r w:rsidR="00D9192F" w:rsidRPr="00D112DB">
        <w:rPr>
          <w:rFonts w:asciiTheme="minorHAnsi" w:hAnsiTheme="minorHAnsi"/>
          <w:color w:val="FF0000"/>
          <w:sz w:val="22"/>
          <w:szCs w:val="22"/>
        </w:rPr>
        <w:t xml:space="preserve"> atestem PZH</w:t>
      </w:r>
      <w:r w:rsidR="001536B1" w:rsidRPr="00D112DB">
        <w:rPr>
          <w:rFonts w:asciiTheme="minorHAnsi" w:hAnsiTheme="minorHAnsi"/>
          <w:color w:val="FF0000"/>
          <w:sz w:val="22"/>
          <w:szCs w:val="22"/>
        </w:rPr>
        <w:t>.</w:t>
      </w:r>
      <w:r w:rsidR="00D9192F" w:rsidRPr="00D112DB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20BC8603" w14:textId="77777777" w:rsidR="009B21C3" w:rsidRPr="00D112DB" w:rsidRDefault="009B21C3" w:rsidP="009B21C3">
      <w:pPr>
        <w:pStyle w:val="Default"/>
        <w:rPr>
          <w:rFonts w:asciiTheme="minorHAnsi" w:hAnsiTheme="minorHAnsi"/>
          <w:i/>
          <w:color w:val="FF0000"/>
          <w:sz w:val="22"/>
          <w:szCs w:val="22"/>
        </w:rPr>
      </w:pPr>
      <w:r w:rsidRPr="00D112DB">
        <w:rPr>
          <w:rFonts w:asciiTheme="minorHAnsi" w:hAnsiTheme="minorHAnsi"/>
          <w:i/>
          <w:color w:val="FF0000"/>
          <w:sz w:val="22"/>
          <w:szCs w:val="22"/>
        </w:rPr>
        <w:t>Najważniejsze zalety</w:t>
      </w:r>
      <w:r w:rsidR="00D9192F" w:rsidRPr="00D112DB">
        <w:rPr>
          <w:rFonts w:asciiTheme="minorHAnsi" w:hAnsiTheme="minorHAnsi"/>
          <w:i/>
          <w:color w:val="FF0000"/>
          <w:sz w:val="22"/>
          <w:szCs w:val="22"/>
        </w:rPr>
        <w:t xml:space="preserve"> określone </w:t>
      </w:r>
      <w:r w:rsidR="00D112DB" w:rsidRPr="00D112DB">
        <w:rPr>
          <w:rFonts w:asciiTheme="minorHAnsi" w:hAnsiTheme="minorHAnsi"/>
          <w:i/>
          <w:color w:val="FF0000"/>
          <w:sz w:val="22"/>
          <w:szCs w:val="22"/>
        </w:rPr>
        <w:t xml:space="preserve">są </w:t>
      </w:r>
      <w:r w:rsidR="00D9192F" w:rsidRPr="00D112DB">
        <w:rPr>
          <w:rFonts w:asciiTheme="minorHAnsi" w:hAnsiTheme="minorHAnsi"/>
          <w:i/>
          <w:color w:val="FF0000"/>
          <w:sz w:val="22"/>
          <w:szCs w:val="22"/>
        </w:rPr>
        <w:t xml:space="preserve">w ateście:  </w:t>
      </w:r>
    </w:p>
    <w:p w14:paraId="7B6DD5D6" w14:textId="77777777" w:rsidR="0070297B" w:rsidRPr="00D112DB" w:rsidRDefault="0070297B" w:rsidP="009B21C3">
      <w:pPr>
        <w:pStyle w:val="Default"/>
        <w:rPr>
          <w:rFonts w:ascii="Calibri" w:hAnsi="Calibri"/>
          <w:color w:val="FF0000"/>
          <w:sz w:val="22"/>
          <w:szCs w:val="22"/>
        </w:rPr>
      </w:pPr>
      <w:r w:rsidRPr="00D112DB">
        <w:rPr>
          <w:rFonts w:ascii="Calibri" w:hAnsi="Calibri"/>
          <w:color w:val="FF0000"/>
          <w:sz w:val="22"/>
        </w:rPr>
        <w:t>Po wyschnięciu preparat jest odporny na zmywanie i utrzymuje się na pędach do 6 miesięcy</w:t>
      </w:r>
    </w:p>
    <w:p w14:paraId="3FB16E26" w14:textId="77777777" w:rsidR="0070297B" w:rsidRPr="00D112DB" w:rsidRDefault="0070297B" w:rsidP="009B21C3">
      <w:pPr>
        <w:pStyle w:val="Default"/>
        <w:rPr>
          <w:rFonts w:ascii="Calibri" w:hAnsi="Calibri"/>
          <w:color w:val="FF0000"/>
          <w:sz w:val="22"/>
          <w:szCs w:val="22"/>
        </w:rPr>
      </w:pPr>
      <w:r w:rsidRPr="00D112DB">
        <w:rPr>
          <w:rFonts w:ascii="Calibri" w:hAnsi="Calibri"/>
          <w:color w:val="FF0000"/>
          <w:sz w:val="22"/>
          <w:szCs w:val="22"/>
        </w:rPr>
        <w:t>Łatwy w użyciu</w:t>
      </w:r>
    </w:p>
    <w:p w14:paraId="14DB87F1" w14:textId="77777777" w:rsidR="009B21C3" w:rsidRDefault="009B21C3" w:rsidP="009B21C3">
      <w:pPr>
        <w:pStyle w:val="Default"/>
        <w:rPr>
          <w:rFonts w:ascii="Calibri" w:hAnsi="Calibri"/>
          <w:color w:val="FF0000"/>
          <w:sz w:val="22"/>
          <w:szCs w:val="22"/>
        </w:rPr>
      </w:pPr>
      <w:r w:rsidRPr="0070297B">
        <w:rPr>
          <w:rFonts w:ascii="Calibri" w:hAnsi="Calibri"/>
          <w:color w:val="FF0000"/>
          <w:sz w:val="22"/>
          <w:szCs w:val="22"/>
        </w:rPr>
        <w:lastRenderedPageBreak/>
        <w:t>Do kilkukrotnego wykorzystania</w:t>
      </w:r>
    </w:p>
    <w:p w14:paraId="44FADDC0" w14:textId="77777777" w:rsidR="00D64CC9" w:rsidRPr="00D64CC9" w:rsidRDefault="00D64CC9" w:rsidP="00D64CC9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37072">
        <w:rPr>
          <w:rFonts w:eastAsia="Times New Roman" w:cstheme="minorHAnsi"/>
          <w:bCs/>
          <w:color w:val="FF0000"/>
          <w:sz w:val="24"/>
          <w:szCs w:val="24"/>
          <w:lang w:eastAsia="pl-PL"/>
        </w:rPr>
        <w:t>B</w:t>
      </w:r>
      <w:r w:rsidRPr="00D64CC9">
        <w:rPr>
          <w:rFonts w:eastAsia="Times New Roman" w:cstheme="minorHAnsi"/>
          <w:bCs/>
          <w:color w:val="FF0000"/>
          <w:sz w:val="24"/>
          <w:szCs w:val="24"/>
          <w:lang w:eastAsia="pl-PL"/>
        </w:rPr>
        <w:t>ezpieczny</w:t>
      </w:r>
      <w:r w:rsidRPr="00D64CC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dla ludzi i środowiska </w:t>
      </w:r>
    </w:p>
    <w:p w14:paraId="6719E73D" w14:textId="77777777" w:rsidR="00D64CC9" w:rsidRPr="00837072" w:rsidRDefault="00837072" w:rsidP="009B21C3">
      <w:pPr>
        <w:pStyle w:val="Default"/>
        <w:rPr>
          <w:rFonts w:asciiTheme="minorHAnsi" w:hAnsiTheme="minorHAnsi" w:cstheme="minorHAnsi"/>
          <w:color w:val="FF0000"/>
        </w:rPr>
      </w:pPr>
      <w:r w:rsidRPr="00837072">
        <w:rPr>
          <w:rFonts w:asciiTheme="minorHAnsi" w:eastAsia="Times New Roman" w:hAnsiTheme="minorHAnsi" w:cstheme="minorHAnsi"/>
          <w:color w:val="FF0000"/>
          <w:lang w:eastAsia="pl-PL"/>
        </w:rPr>
        <w:t>N</w:t>
      </w:r>
      <w:r w:rsidR="00D64CC9" w:rsidRPr="00837072">
        <w:rPr>
          <w:rFonts w:asciiTheme="minorHAnsi" w:eastAsia="Times New Roman" w:hAnsiTheme="minorHAnsi" w:cstheme="minorHAnsi"/>
          <w:bCs/>
          <w:color w:val="FF0000"/>
          <w:lang w:eastAsia="pl-PL"/>
        </w:rPr>
        <w:t>ie jest szkodliwy dla pszczół</w:t>
      </w:r>
    </w:p>
    <w:p w14:paraId="67C8FCDA" w14:textId="77777777" w:rsidR="0070297B" w:rsidRPr="00837072" w:rsidRDefault="0070297B" w:rsidP="007B568B">
      <w:pPr>
        <w:pStyle w:val="Default"/>
        <w:rPr>
          <w:rFonts w:asciiTheme="minorHAnsi" w:hAnsiTheme="minorHAnsi" w:cstheme="minorHAnsi"/>
          <w:color w:val="FF0000"/>
        </w:rPr>
      </w:pPr>
      <w:r w:rsidRPr="00837072">
        <w:rPr>
          <w:rFonts w:asciiTheme="minorHAnsi" w:hAnsiTheme="minorHAnsi" w:cstheme="minorHAnsi"/>
          <w:color w:val="FF0000"/>
        </w:rPr>
        <w:t xml:space="preserve">Przeznaczony do ochrony sadzonek drzew liściastych jak i iglastych przed zgryzaniem przez zające, sarny i inne zwierzęta. </w:t>
      </w:r>
    </w:p>
    <w:p w14:paraId="24993467" w14:textId="77777777" w:rsidR="0070297B" w:rsidRPr="0070297B" w:rsidRDefault="0070297B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247C1AE7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7. Oceny ORŚIS oraz ich włączenie do planów operacyjnych udostępnić na </w:t>
      </w:r>
      <w:r w:rsidR="003B5DE6" w:rsidRPr="005D1758">
        <w:rPr>
          <w:rFonts w:asciiTheme="minorHAnsi" w:hAnsiTheme="minorHAnsi"/>
          <w:sz w:val="22"/>
          <w:szCs w:val="22"/>
        </w:rPr>
        <w:t>życzenie stronom zaangażowanym.</w:t>
      </w:r>
    </w:p>
    <w:p w14:paraId="4820CE55" w14:textId="77777777" w:rsidR="003B5DE6" w:rsidRPr="005D1758" w:rsidRDefault="003B5DE6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D98787C" w14:textId="77777777" w:rsidR="003B5DE6" w:rsidRPr="005D1758" w:rsidRDefault="003B5DE6" w:rsidP="00EA0038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>Zgodnie z ustawą z dnia 6 września 2001 r. o dostępie do informacji publicznej (z póz. zm.) oraz ustawą dnia 3 października 2008 r. o udostępnianiu informacji o środowisku i jego ochronie, udziale społeczeństwa w ochronie środowiska oraz o ocenach oddziaływania na środowisko (z póz</w:t>
      </w:r>
      <w:r w:rsidR="00D9192F">
        <w:rPr>
          <w:rFonts w:asciiTheme="minorHAnsi" w:hAnsiTheme="minorHAnsi"/>
          <w:color w:val="FF0000"/>
          <w:sz w:val="22"/>
          <w:szCs w:val="22"/>
        </w:rPr>
        <w:t xml:space="preserve">. zm.), ww. informacje </w:t>
      </w:r>
      <w:r w:rsidRPr="005D1758">
        <w:rPr>
          <w:rFonts w:asciiTheme="minorHAnsi" w:hAnsiTheme="minorHAnsi"/>
          <w:color w:val="FF0000"/>
          <w:sz w:val="22"/>
          <w:szCs w:val="22"/>
        </w:rPr>
        <w:t>są udostępniane na życzenie stronom zaangażowanym.</w:t>
      </w:r>
    </w:p>
    <w:p w14:paraId="4D52EC36" w14:textId="77777777" w:rsidR="007B568B" w:rsidRPr="005D1758" w:rsidRDefault="007B568B" w:rsidP="00EA0038">
      <w:pPr>
        <w:pStyle w:val="Default"/>
        <w:jc w:val="both"/>
        <w:rPr>
          <w:rFonts w:asciiTheme="minorHAnsi" w:hAnsiTheme="minorHAnsi"/>
        </w:rPr>
      </w:pPr>
    </w:p>
    <w:p w14:paraId="013CB22E" w14:textId="77777777" w:rsidR="007B568B" w:rsidRPr="005D1758" w:rsidRDefault="007B568B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8. Korzystać z internetowej bazy danych FSC w celu wymiany informacji na temat metod alternatywnych i procedur monitorowania. </w:t>
      </w:r>
    </w:p>
    <w:p w14:paraId="108C4B08" w14:textId="77777777" w:rsidR="00071432" w:rsidRPr="005D1758" w:rsidRDefault="00071432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272DD9" w14:textId="77777777" w:rsidR="00071432" w:rsidRPr="005D1758" w:rsidRDefault="00071432" w:rsidP="00EA0038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Baza danych wykorzystywana ww. celu: </w:t>
      </w:r>
      <w:hyperlink r:id="rId13" w:history="1">
        <w:r w:rsidRPr="005D1758">
          <w:rPr>
            <w:rStyle w:val="Hipercze"/>
            <w:rFonts w:asciiTheme="minorHAnsi" w:hAnsiTheme="minorHAnsi"/>
            <w:color w:val="FF0000"/>
            <w:sz w:val="22"/>
            <w:szCs w:val="22"/>
          </w:rPr>
          <w:t>http://pesticides.fsc.org/strategy-database</w:t>
        </w:r>
      </w:hyperlink>
      <w:r w:rsidRPr="005D1758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716CF2A" w14:textId="77777777" w:rsidR="007B568B" w:rsidRPr="005D1758" w:rsidRDefault="007B568B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1163ABA" w14:textId="77777777" w:rsidR="007B568B" w:rsidRPr="005D1758" w:rsidRDefault="007B568B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9. Wprowadzić programy, zgodne z SIR, w celu badania, identyfikacji i testowania alternatyw, które, jako mniej niebezpieczne, miałyby zastąpić WNP objęte ścisłymi ograniczeniami przez FSC i WNP objęte ograniczeniami przez FSC. Programy powinny zawierać jasne działania, ramy czaso</w:t>
      </w:r>
      <w:r w:rsidR="00595EA4" w:rsidRPr="005D1758">
        <w:rPr>
          <w:rFonts w:asciiTheme="minorHAnsi" w:hAnsiTheme="minorHAnsi"/>
          <w:sz w:val="22"/>
          <w:szCs w:val="22"/>
        </w:rPr>
        <w:t>we, cele i przydzielone zasoby.</w:t>
      </w:r>
    </w:p>
    <w:p w14:paraId="1CD7BB74" w14:textId="77777777" w:rsidR="00595EA4" w:rsidRPr="005D1758" w:rsidRDefault="00595EA4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B3F085E" w14:textId="77777777" w:rsidR="008E2C1F" w:rsidRDefault="00EA0038" w:rsidP="00EA0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Repelent</w:t>
      </w:r>
      <w:r w:rsidR="0070297B">
        <w:rPr>
          <w:rFonts w:cs="Arial"/>
          <w:color w:val="FF0000"/>
        </w:rPr>
        <w:t xml:space="preserve"> </w:t>
      </w:r>
      <w:proofErr w:type="spellStart"/>
      <w:r w:rsidR="0070297B">
        <w:rPr>
          <w:rFonts w:cs="Arial"/>
          <w:color w:val="FF0000"/>
        </w:rPr>
        <w:t>Silvacol</w:t>
      </w:r>
      <w:proofErr w:type="spellEnd"/>
      <w:r w:rsidR="0070297B">
        <w:rPr>
          <w:rFonts w:cs="Arial"/>
          <w:color w:val="FF0000"/>
        </w:rPr>
        <w:t xml:space="preserve"> jest stosowany tam gdzie nie sprawdzają się metody mechaniczne ochrony upraw przed zwierzyną i wykazuje </w:t>
      </w:r>
      <w:r>
        <w:rPr>
          <w:rFonts w:cs="Arial"/>
          <w:color w:val="FF0000"/>
        </w:rPr>
        <w:t xml:space="preserve">on </w:t>
      </w:r>
      <w:r w:rsidR="008E2C1F">
        <w:rPr>
          <w:rFonts w:cs="Arial"/>
          <w:color w:val="FF0000"/>
        </w:rPr>
        <w:t xml:space="preserve">dużą skuteczność. Ponadto </w:t>
      </w:r>
      <w:r>
        <w:rPr>
          <w:rFonts w:cs="Arial"/>
          <w:color w:val="FF0000"/>
        </w:rPr>
        <w:t>s</w:t>
      </w:r>
      <w:r w:rsidR="008E2C1F">
        <w:rPr>
          <w:rFonts w:cs="Arial"/>
          <w:color w:val="FF0000"/>
        </w:rPr>
        <w:t xml:space="preserve">tosowanie </w:t>
      </w:r>
      <w:r w:rsidR="00F45618">
        <w:rPr>
          <w:rFonts w:cs="Arial"/>
          <w:color w:val="FF0000"/>
        </w:rPr>
        <w:t>ciągle</w:t>
      </w:r>
      <w:r w:rsidR="008E2C1F">
        <w:rPr>
          <w:rFonts w:cs="Arial"/>
          <w:color w:val="FF0000"/>
        </w:rPr>
        <w:t xml:space="preserve"> tych samych repelentów chemicznych (o tej samej substancji aktywnej) powoduje, że </w:t>
      </w:r>
      <w:r w:rsidR="00F45618">
        <w:rPr>
          <w:rFonts w:cs="Arial"/>
          <w:color w:val="FF0000"/>
        </w:rPr>
        <w:t>zwierzyna się przyzwyczaja i</w:t>
      </w:r>
      <w:r w:rsidR="007E6CF8">
        <w:rPr>
          <w:rFonts w:cs="Arial"/>
          <w:color w:val="FF0000"/>
        </w:rPr>
        <w:t xml:space="preserve"> skuteczność tych repelentów zmniejsza się</w:t>
      </w:r>
      <w:r w:rsidR="00F45618">
        <w:rPr>
          <w:rFonts w:cs="Arial"/>
          <w:color w:val="FF0000"/>
        </w:rPr>
        <w:t xml:space="preserve">.  </w:t>
      </w:r>
    </w:p>
    <w:p w14:paraId="5C30AC9A" w14:textId="77777777" w:rsidR="00F45618" w:rsidRPr="005D1758" w:rsidRDefault="00F45618" w:rsidP="00EA0038">
      <w:pPr>
        <w:autoSpaceDE w:val="0"/>
        <w:autoSpaceDN w:val="0"/>
        <w:adjustRightInd w:val="0"/>
        <w:spacing w:after="0" w:line="240" w:lineRule="auto"/>
        <w:jc w:val="both"/>
      </w:pPr>
    </w:p>
    <w:p w14:paraId="525A8176" w14:textId="77777777" w:rsidR="007B568B" w:rsidRPr="005D1758" w:rsidRDefault="007B568B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>10. Współpracować z interesariuszami zgodnie z wymogami obowiązującego Krajowego Standardu Gospodarki Leśnej lub Tymczasowego Krajowego Standardu podcz</w:t>
      </w:r>
      <w:r w:rsidR="00EC4079" w:rsidRPr="005D1758">
        <w:rPr>
          <w:rFonts w:asciiTheme="minorHAnsi" w:hAnsiTheme="minorHAnsi"/>
          <w:sz w:val="22"/>
          <w:szCs w:val="22"/>
        </w:rPr>
        <w:t>as przeprowadzania oceny ORŚIS.</w:t>
      </w:r>
    </w:p>
    <w:p w14:paraId="75256CD2" w14:textId="77777777" w:rsidR="00EC4079" w:rsidRPr="005D1758" w:rsidRDefault="00EC4079" w:rsidP="00EA003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CCB624" w14:textId="77777777" w:rsidR="00595EA4" w:rsidRPr="005D1758" w:rsidRDefault="00EC4079" w:rsidP="00EA0038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5D1758">
        <w:rPr>
          <w:rFonts w:asciiTheme="minorHAnsi" w:hAnsiTheme="minorHAnsi"/>
          <w:color w:val="FF0000"/>
          <w:sz w:val="22"/>
          <w:szCs w:val="22"/>
        </w:rPr>
        <w:t xml:space="preserve">KRAJOWY STANDARD GOSPODARKI LEŚNEJ FSC® W POLSCE FSC-STD-POL-01-01-2013 PL </w:t>
      </w:r>
      <w:r w:rsidR="00595EA4" w:rsidRPr="005D1758">
        <w:rPr>
          <w:rFonts w:asciiTheme="minorHAnsi" w:hAnsiTheme="minorHAnsi"/>
          <w:color w:val="FF0000"/>
          <w:sz w:val="22"/>
          <w:szCs w:val="22"/>
        </w:rPr>
        <w:t>określa stosowania pestycydów w kryterium 6.6 natomiast w ZASADZIE 4. WSPÓŁPRACA ZE SPOŁECZEŃSTWEM I PRAWA PRACOWNIKÓW określa relacje z interesariuszami a w szczególności.</w:t>
      </w:r>
    </w:p>
    <w:p w14:paraId="437454AD" w14:textId="77777777" w:rsidR="00595EA4" w:rsidRPr="005D1758" w:rsidRDefault="00595EA4" w:rsidP="00EA0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14:paraId="60E14344" w14:textId="77777777" w:rsidR="00595EA4" w:rsidRPr="005D1758" w:rsidRDefault="00595EA4" w:rsidP="00EA0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r w:rsidRPr="005D1758">
        <w:rPr>
          <w:rFonts w:cs="Arial"/>
          <w:color w:val="FF0000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3CDE806A" w14:textId="77777777" w:rsidR="00595EA4" w:rsidRPr="005D1758" w:rsidRDefault="00595EA4" w:rsidP="00EA00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14:paraId="3EF12DE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57A2CF7" w14:textId="77777777" w:rsidR="00595EA4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sz w:val="22"/>
          <w:szCs w:val="22"/>
        </w:rPr>
        <w:t xml:space="preserve">11. Nie używać żadnych </w:t>
      </w:r>
      <w:r w:rsidRPr="005D1758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5D1758">
        <w:rPr>
          <w:rFonts w:asciiTheme="minorHAnsi" w:hAnsiTheme="minorHAnsi"/>
          <w:sz w:val="22"/>
          <w:szCs w:val="22"/>
        </w:rPr>
        <w:t>, z wyjątkiem sytuacji nadzwyczajnych lub na polecenie rządu. (Patrz Załącznik 3. Procedura stosowania WNP zabronionych przez FSC w przypadku sytuacji nadzwyczajnych lub na polecenie rządu).</w:t>
      </w:r>
    </w:p>
    <w:p w14:paraId="7B1BCEDA" w14:textId="77777777" w:rsidR="00595EA4" w:rsidRPr="005D1758" w:rsidRDefault="00595EA4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4DB7A34" w14:textId="77777777" w:rsidR="007B568B" w:rsidRDefault="00595EA4" w:rsidP="007B568B">
      <w:pPr>
        <w:pStyle w:val="Default"/>
        <w:rPr>
          <w:rFonts w:ascii="Calibri" w:hAnsi="Calibri" w:cs="Calibri"/>
          <w:bCs/>
          <w:color w:val="FF0000"/>
          <w:sz w:val="22"/>
          <w:szCs w:val="22"/>
        </w:rPr>
      </w:pPr>
      <w:r w:rsidRPr="00C3036D">
        <w:rPr>
          <w:rFonts w:ascii="Calibri" w:hAnsi="Calibri" w:cs="Calibri"/>
          <w:color w:val="FF0000"/>
          <w:sz w:val="22"/>
          <w:szCs w:val="22"/>
        </w:rPr>
        <w:t xml:space="preserve">Nie dotyczy. Substancja aktywna będąca przedmiotem ORŚIS znajduje się </w:t>
      </w:r>
      <w:r w:rsidR="00F45618" w:rsidRPr="00C3036D">
        <w:rPr>
          <w:rFonts w:ascii="Calibri" w:hAnsi="Calibri" w:cs="Calibri"/>
          <w:bCs/>
          <w:color w:val="FF0000"/>
          <w:sz w:val="22"/>
          <w:szCs w:val="22"/>
        </w:rPr>
        <w:t xml:space="preserve">liście  </w:t>
      </w:r>
      <w:r w:rsidR="00EA0038" w:rsidRPr="00EA0038">
        <w:rPr>
          <w:rFonts w:ascii="Calibri" w:hAnsi="Calibri" w:cs="Calibri"/>
          <w:bCs/>
          <w:color w:val="FF0000"/>
          <w:sz w:val="22"/>
          <w:szCs w:val="22"/>
        </w:rPr>
        <w:t>WYSOCE NIEBEZPIECZNYCH PESTYCYDÓW</w:t>
      </w:r>
      <w:r w:rsidR="00EA0038">
        <w:rPr>
          <w:bCs/>
          <w:color w:val="FF0000"/>
        </w:rPr>
        <w:t xml:space="preserve"> </w:t>
      </w:r>
      <w:r w:rsidR="00EA0038" w:rsidRPr="00C31A41">
        <w:rPr>
          <w:bCs/>
          <w:color w:val="FF0000"/>
        </w:rPr>
        <w:t xml:space="preserve"> </w:t>
      </w:r>
      <w:r w:rsidR="00F45618" w:rsidRPr="00C3036D">
        <w:rPr>
          <w:rFonts w:ascii="Calibri" w:hAnsi="Calibri" w:cs="Calibri"/>
          <w:bCs/>
          <w:color w:val="FF0000"/>
          <w:sz w:val="22"/>
          <w:szCs w:val="22"/>
        </w:rPr>
        <w:t>według FSC, FSC-POL-30-001a EN, 1 maja 2019 r.</w:t>
      </w:r>
    </w:p>
    <w:p w14:paraId="22EC0438" w14:textId="77777777" w:rsidR="00C3036D" w:rsidRPr="00C3036D" w:rsidRDefault="00C3036D" w:rsidP="007B568B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14:paraId="2CE57C10" w14:textId="77777777" w:rsidR="004A7035" w:rsidRDefault="004A7035" w:rsidP="004A70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7AD53D7D" w14:textId="77777777" w:rsidR="004A7035" w:rsidRDefault="004A7035" w:rsidP="004A7035">
      <w:pPr>
        <w:pStyle w:val="Default"/>
        <w:rPr>
          <w:rFonts w:asciiTheme="minorHAnsi" w:hAnsiTheme="minorHAnsi"/>
          <w:sz w:val="22"/>
          <w:szCs w:val="22"/>
        </w:rPr>
      </w:pPr>
    </w:p>
    <w:p w14:paraId="61A4CFC8" w14:textId="77777777" w:rsidR="004A7035" w:rsidRPr="004A7035" w:rsidRDefault="004A7035" w:rsidP="004A7035">
      <w:pPr>
        <w:pStyle w:val="Default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4A7035">
        <w:rPr>
          <w:rFonts w:asciiTheme="minorHAnsi" w:hAnsiTheme="minorHAnsi"/>
          <w:color w:val="FF0000"/>
          <w:sz w:val="22"/>
          <w:szCs w:val="22"/>
        </w:rPr>
        <w:lastRenderedPageBreak/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0AC410BD" w14:textId="77777777" w:rsidR="004A7035" w:rsidRDefault="004A7035" w:rsidP="004A7035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1EC2D769" w14:textId="77777777" w:rsidR="004A7035" w:rsidRDefault="004A7035" w:rsidP="004A70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3CEAC30" w14:textId="77777777" w:rsidR="004A7035" w:rsidRDefault="004A7035" w:rsidP="004A70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1AB08D80" w14:textId="77777777" w:rsidR="004A7035" w:rsidRDefault="004A7035" w:rsidP="004A7035">
      <w:pPr>
        <w:pStyle w:val="Default"/>
        <w:rPr>
          <w:rFonts w:asciiTheme="minorHAnsi" w:hAnsiTheme="minorHAnsi"/>
          <w:sz w:val="22"/>
          <w:szCs w:val="22"/>
        </w:rPr>
      </w:pPr>
    </w:p>
    <w:p w14:paraId="301B838C" w14:textId="2AD62E28" w:rsidR="004A7035" w:rsidRPr="004A7035" w:rsidRDefault="004A7035" w:rsidP="004A7035">
      <w:pPr>
        <w:pStyle w:val="Default"/>
        <w:jc w:val="both"/>
        <w:rPr>
          <w:bCs/>
          <w:color w:val="FF0000"/>
        </w:rPr>
        <w:sectPr w:rsidR="004A7035" w:rsidRPr="004A7035">
          <w:pgSz w:w="11906" w:h="16838"/>
          <w:pgMar w:top="1134" w:right="1417" w:bottom="1417" w:left="1417" w:header="708" w:footer="708" w:gutter="0"/>
          <w:cols w:space="708"/>
        </w:sectPr>
      </w:pPr>
      <w:r w:rsidRPr="004A7035">
        <w:rPr>
          <w:rFonts w:asciiTheme="minorHAnsi" w:hAnsiTheme="minorHAnsi"/>
          <w:color w:val="FF0000"/>
          <w:sz w:val="22"/>
          <w:szCs w:val="22"/>
        </w:rPr>
        <w:t>Wszystkie Nadleśnictwa mają obowiązek zwrócić się o wykaz pestycydów syntetycznych zabronionych przez FSC stosowanych przez zakłady przetwórcze i szkółki opisane w punkcie 4.12.12.</w:t>
      </w:r>
    </w:p>
    <w:p w14:paraId="113E377D" w14:textId="77777777" w:rsidR="00541632" w:rsidRPr="005D1758" w:rsidRDefault="00541632" w:rsidP="00F207AC">
      <w:pPr>
        <w:rPr>
          <w:b/>
          <w:bCs/>
        </w:rPr>
      </w:pPr>
    </w:p>
    <w:p w14:paraId="1AE3767A" w14:textId="77777777" w:rsidR="00DD625D" w:rsidRPr="005D1758" w:rsidRDefault="00DD625D" w:rsidP="00F207AC">
      <w:pPr>
        <w:rPr>
          <w:b/>
          <w:bCs/>
        </w:rPr>
      </w:pPr>
    </w:p>
    <w:p w14:paraId="2344E569" w14:textId="77777777" w:rsidR="00DD625D" w:rsidRPr="005D1758" w:rsidRDefault="00DD625D" w:rsidP="00F207AC">
      <w:pPr>
        <w:rPr>
          <w:b/>
          <w:bCs/>
        </w:rPr>
      </w:pPr>
    </w:p>
    <w:p w14:paraId="2521C4BD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B85471A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63056C03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620D9870" w14:textId="77777777" w:rsidR="00F37C0C" w:rsidRPr="005D1758" w:rsidRDefault="00F37C0C" w:rsidP="00F37C0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D1758">
        <w:rPr>
          <w:b/>
          <w:bCs/>
        </w:rPr>
        <w:t xml:space="preserve">Identyfikacja zagrożeń </w:t>
      </w:r>
      <w:r w:rsidR="00AC47D7" w:rsidRPr="005D1758">
        <w:rPr>
          <w:b/>
          <w:bCs/>
        </w:rPr>
        <w:t>(str. 39)</w:t>
      </w:r>
    </w:p>
    <w:p w14:paraId="3E9DE95D" w14:textId="77777777" w:rsidR="00AC47D7" w:rsidRPr="005D1758" w:rsidRDefault="00F37C0C" w:rsidP="00AC47D7">
      <w:pPr>
        <w:pStyle w:val="Akapitzlist"/>
        <w:jc w:val="both"/>
        <w:rPr>
          <w:b/>
          <w:bCs/>
        </w:rPr>
      </w:pPr>
      <w:r w:rsidRPr="005D1758">
        <w:rPr>
          <w:b/>
          <w:bCs/>
        </w:rPr>
        <w:t xml:space="preserve">Identyfikacja zagrożeń została określana </w:t>
      </w:r>
      <w:r w:rsidR="00AC47D7" w:rsidRPr="005D1758">
        <w:rPr>
          <w:b/>
          <w:bCs/>
        </w:rPr>
        <w:t>w Wykazie wysoce niebezpiecznych pestycydów według FSC</w:t>
      </w:r>
    </w:p>
    <w:p w14:paraId="4B0E651C" w14:textId="77777777" w:rsidR="00F37C0C" w:rsidRPr="005D1758" w:rsidRDefault="00AC47D7" w:rsidP="00AC47D7">
      <w:pPr>
        <w:pStyle w:val="Akapitzlist"/>
        <w:jc w:val="both"/>
        <w:rPr>
          <w:b/>
          <w:bCs/>
        </w:rPr>
      </w:pPr>
      <w:r w:rsidRPr="005D1758">
        <w:rPr>
          <w:b/>
          <w:bCs/>
        </w:rPr>
        <w:t>FSC-POL-30-001a EN, 1 maja 2019 r. (str. 13).</w:t>
      </w:r>
      <w:r w:rsidR="00F37C0C" w:rsidRPr="005D1758">
        <w:rPr>
          <w:b/>
          <w:bCs/>
        </w:rPr>
        <w:t xml:space="preserve"> </w:t>
      </w:r>
    </w:p>
    <w:p w14:paraId="0249B23A" w14:textId="77777777" w:rsidR="00F37C0C" w:rsidRDefault="00F37C0C" w:rsidP="00F37C0C">
      <w:pPr>
        <w:pStyle w:val="Default"/>
        <w:rPr>
          <w:rFonts w:asciiTheme="minorHAnsi" w:hAnsiTheme="minorHAnsi"/>
        </w:rPr>
      </w:pPr>
    </w:p>
    <w:p w14:paraId="60470062" w14:textId="77777777" w:rsidR="00CE7AFB" w:rsidRDefault="00CE7AFB" w:rsidP="00F37C0C">
      <w:pPr>
        <w:pStyle w:val="Default"/>
        <w:rPr>
          <w:rFonts w:asciiTheme="minorHAnsi" w:hAnsiTheme="minorHAnsi"/>
        </w:rPr>
      </w:pPr>
    </w:p>
    <w:p w14:paraId="1EE69AFA" w14:textId="77777777" w:rsidR="00CE7AFB" w:rsidRPr="00CE7AFB" w:rsidRDefault="00CE7AFB" w:rsidP="00CE7AFB">
      <w:pPr>
        <w:pStyle w:val="Akapitzlist"/>
        <w:jc w:val="both"/>
        <w:rPr>
          <w:bCs/>
          <w:color w:val="FF0000"/>
        </w:rPr>
      </w:pPr>
      <w:r w:rsidRPr="00CE7AFB">
        <w:rPr>
          <w:color w:val="FF0000"/>
        </w:rPr>
        <w:t xml:space="preserve">Nie dotyczy - </w:t>
      </w:r>
      <w:r w:rsidRPr="00CE7AFB">
        <w:rPr>
          <w:bCs/>
          <w:color w:val="FF0000"/>
        </w:rPr>
        <w:t xml:space="preserve">benzoesan </w:t>
      </w:r>
      <w:proofErr w:type="spellStart"/>
      <w:r w:rsidRPr="00CE7AFB">
        <w:rPr>
          <w:bCs/>
          <w:color w:val="FF0000"/>
        </w:rPr>
        <w:t>denatonium</w:t>
      </w:r>
      <w:proofErr w:type="spellEnd"/>
      <w:r w:rsidRPr="00CE7AFB">
        <w:rPr>
          <w:bCs/>
          <w:color w:val="FF0000"/>
        </w:rPr>
        <w:t xml:space="preserve"> nie znajduje się w wykazie wysoce niebezpiecznych pestycydów według FSC czyli takich które są zabronione przez FSC lub są objęte ścisłymi ograniczeniami przez FSC lub objęte ograniczeniami przez FSC.</w:t>
      </w:r>
    </w:p>
    <w:p w14:paraId="0FD43E77" w14:textId="77777777" w:rsidR="00CE7AFB" w:rsidRPr="00CE7AFB" w:rsidRDefault="00CE7AFB" w:rsidP="00F37C0C">
      <w:pPr>
        <w:pStyle w:val="Default"/>
        <w:rPr>
          <w:rFonts w:asciiTheme="minorHAnsi" w:hAnsiTheme="minorHAnsi"/>
        </w:rPr>
      </w:pPr>
    </w:p>
    <w:p w14:paraId="5C6D264F" w14:textId="77777777" w:rsidR="00CE7AFB" w:rsidRPr="00CE7AFB" w:rsidRDefault="00CE7AFB" w:rsidP="00F37C0C">
      <w:pPr>
        <w:pStyle w:val="Default"/>
        <w:rPr>
          <w:rFonts w:asciiTheme="minorHAnsi" w:hAnsiTheme="minorHAnsi"/>
        </w:rPr>
      </w:pPr>
    </w:p>
    <w:p w14:paraId="62637EB0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1E00058C" w14:textId="77777777" w:rsidR="00AC47D7" w:rsidRPr="005D1758" w:rsidRDefault="00AC47D7" w:rsidP="00AC47D7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>Charakteryzacja ekspozycji został określona na podstawie Szablon ORŚIS</w:t>
      </w:r>
      <w:r w:rsidR="003B4A5B" w:rsidRPr="005D1758">
        <w:rPr>
          <w:rFonts w:asciiTheme="minorHAnsi" w:hAnsiTheme="minorHAnsi"/>
          <w:b/>
          <w:bCs/>
          <w:sz w:val="22"/>
          <w:szCs w:val="22"/>
        </w:rPr>
        <w:t xml:space="preserve"> (str. 43). Elementy ekspo</w:t>
      </w:r>
      <w:r w:rsidR="00AB3441" w:rsidRPr="005D1758">
        <w:rPr>
          <w:rFonts w:asciiTheme="minorHAnsi" w:hAnsiTheme="minorHAnsi"/>
          <w:b/>
          <w:bCs/>
          <w:sz w:val="22"/>
          <w:szCs w:val="22"/>
        </w:rPr>
        <w:t>zycji zostały zawarte pod tabelą</w:t>
      </w:r>
      <w:r w:rsidR="003B4A5B" w:rsidRPr="005D1758">
        <w:rPr>
          <w:rFonts w:asciiTheme="minorHAnsi" w:hAnsiTheme="minorHAnsi"/>
          <w:b/>
          <w:bCs/>
          <w:sz w:val="22"/>
          <w:szCs w:val="22"/>
        </w:rPr>
        <w:t xml:space="preserve"> w celu wykorz</w:t>
      </w:r>
      <w:r w:rsidR="00AB3441" w:rsidRPr="005D1758">
        <w:rPr>
          <w:rFonts w:asciiTheme="minorHAnsi" w:hAnsiTheme="minorHAnsi"/>
          <w:b/>
          <w:bCs/>
          <w:sz w:val="22"/>
          <w:szCs w:val="22"/>
        </w:rPr>
        <w:t>ystania jeśli mają zastosowanie.</w:t>
      </w:r>
    </w:p>
    <w:p w14:paraId="01E19D03" w14:textId="77777777" w:rsidR="005D1758" w:rsidRDefault="005D1758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475124B3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5D1758">
        <w:rPr>
          <w:rFonts w:cs="Arial"/>
          <w:b/>
          <w:bCs/>
          <w:color w:val="000000"/>
        </w:rPr>
        <w:t xml:space="preserve">Szablon ORŚIS </w:t>
      </w: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20FE0F95" w14:textId="77777777" w:rsidTr="00DD625D">
        <w:trPr>
          <w:trHeight w:val="91"/>
        </w:trPr>
        <w:tc>
          <w:tcPr>
            <w:tcW w:w="13995" w:type="dxa"/>
            <w:gridSpan w:val="4"/>
          </w:tcPr>
          <w:p w14:paraId="0EF9D21B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Data: rok 2020 </w:t>
            </w:r>
          </w:p>
        </w:tc>
      </w:tr>
      <w:tr w:rsidR="00DD625D" w:rsidRPr="005D1758" w14:paraId="53B67B01" w14:textId="77777777" w:rsidTr="00DD625D">
        <w:trPr>
          <w:trHeight w:val="91"/>
        </w:trPr>
        <w:tc>
          <w:tcPr>
            <w:tcW w:w="13995" w:type="dxa"/>
            <w:gridSpan w:val="4"/>
          </w:tcPr>
          <w:p w14:paraId="4DA87C54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01AE4D42" w14:textId="77777777" w:rsidTr="005B1D4A">
        <w:trPr>
          <w:trHeight w:val="1437"/>
        </w:trPr>
        <w:tc>
          <w:tcPr>
            <w:tcW w:w="1804" w:type="dxa"/>
          </w:tcPr>
          <w:p w14:paraId="1A99C31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syntetyczny </w:t>
            </w:r>
            <w:r w:rsidR="00774DCF">
              <w:rPr>
                <w:rFonts w:cs="Arial"/>
                <w:b/>
                <w:bCs/>
                <w:color w:val="000000"/>
              </w:rPr>
              <w:t>–</w:t>
            </w:r>
            <w:r w:rsidR="00774DCF" w:rsidRPr="00774DCF">
              <w:rPr>
                <w:rFonts w:cs="Arial"/>
                <w:b/>
                <w:bCs/>
                <w:color w:val="FF0000"/>
              </w:rPr>
              <w:t>repelent zawierający syntetyczną substancję aktywną</w:t>
            </w:r>
          </w:p>
        </w:tc>
        <w:tc>
          <w:tcPr>
            <w:tcW w:w="2127" w:type="dxa"/>
          </w:tcPr>
          <w:p w14:paraId="17DCED4B" w14:textId="77777777" w:rsidR="005B1D4A" w:rsidRPr="005D1758" w:rsidRDefault="00774DCF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CE7AFB">
              <w:rPr>
                <w:bCs/>
                <w:color w:val="FF0000"/>
              </w:rPr>
              <w:t xml:space="preserve">benzoesan </w:t>
            </w:r>
            <w:proofErr w:type="spellStart"/>
            <w:r w:rsidRPr="00CE7AFB">
              <w:rPr>
                <w:bCs/>
                <w:color w:val="FF0000"/>
              </w:rPr>
              <w:t>denatonium</w:t>
            </w:r>
            <w:proofErr w:type="spellEnd"/>
            <w:r w:rsidRPr="00CE7AFB">
              <w:rPr>
                <w:bCs/>
                <w:color w:val="FF0000"/>
              </w:rPr>
              <w:t xml:space="preserve"> </w:t>
            </w:r>
            <w:r w:rsidR="005B1D4A" w:rsidRPr="005D1758">
              <w:rPr>
                <w:rFonts w:cs="Arial"/>
              </w:rPr>
              <w:t>(</w:t>
            </w:r>
            <w:hyperlink r:id="rId14" w:tooltip="Związki organiczne" w:history="1">
              <w:r w:rsidRPr="002C0068">
                <w:rPr>
                  <w:rFonts w:eastAsia="Times New Roman" w:cstheme="minorHAnsi"/>
                  <w:color w:val="FF0000"/>
                  <w:lang w:eastAsia="pl-PL"/>
                </w:rPr>
                <w:t>organiczny związek chemiczny</w:t>
              </w:r>
            </w:hyperlink>
            <w:r w:rsidR="005B1D4A" w:rsidRPr="005D1758">
              <w:rPr>
                <w:rFonts w:cs="Arial"/>
                <w:color w:val="FF0000"/>
              </w:rPr>
              <w:t>)</w:t>
            </w:r>
          </w:p>
        </w:tc>
        <w:tc>
          <w:tcPr>
            <w:tcW w:w="5103" w:type="dxa"/>
          </w:tcPr>
          <w:p w14:paraId="11881DBB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2DE94D5A" w14:textId="77777777" w:rsidR="00DD625D" w:rsidRPr="00EA0038" w:rsidRDefault="00DD625D" w:rsidP="00774DCF">
            <w:pPr>
              <w:spacing w:after="0" w:line="276" w:lineRule="auto"/>
              <w:jc w:val="both"/>
              <w:rPr>
                <w:color w:val="FF0000"/>
              </w:rPr>
            </w:pPr>
            <w:r w:rsidRPr="00EA0038">
              <w:rPr>
                <w:rFonts w:cs="Arial"/>
                <w:bCs/>
                <w:color w:val="FF0000"/>
              </w:rPr>
              <w:t>(</w:t>
            </w:r>
            <w:r w:rsidR="00774DCF" w:rsidRPr="00EA0038">
              <w:rPr>
                <w:color w:val="FF0000"/>
              </w:rPr>
              <w:t>działanie odstraszające, przeznaczony do ochrony sadzonek i drzewek drzew liściastych i iglastych przed zgryzaniem przez zające, sarny i inne zwierzęta.</w:t>
            </w:r>
            <w:r w:rsidRPr="00EA0038">
              <w:rPr>
                <w:rFonts w:cs="Arial"/>
                <w:bCs/>
                <w:color w:val="FF0000"/>
              </w:rPr>
              <w:t>)</w:t>
            </w:r>
            <w:r w:rsidRPr="00EA0038">
              <w:rPr>
                <w:color w:val="FF0000"/>
              </w:rPr>
              <w:t xml:space="preserve"> </w:t>
            </w:r>
          </w:p>
        </w:tc>
        <w:tc>
          <w:tcPr>
            <w:tcW w:w="4961" w:type="dxa"/>
          </w:tcPr>
          <w:p w14:paraId="6A4934EF" w14:textId="77777777" w:rsidR="00774DCF" w:rsidRDefault="00774DCF" w:rsidP="00774D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</w:t>
            </w:r>
          </w:p>
          <w:p w14:paraId="15809A5B" w14:textId="77777777" w:rsidR="00DD625D" w:rsidRPr="005D1758" w:rsidRDefault="00DD625D" w:rsidP="00716D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color w:val="FF0000"/>
              </w:rPr>
              <w:t xml:space="preserve">Ochrona </w:t>
            </w:r>
            <w:r w:rsidR="00774DCF">
              <w:rPr>
                <w:rFonts w:cs="Arial"/>
                <w:color w:val="FF0000"/>
              </w:rPr>
              <w:t>upraw leśnych</w:t>
            </w:r>
            <w:r w:rsidR="00716DFA">
              <w:rPr>
                <w:rFonts w:cs="Arial"/>
                <w:color w:val="FF0000"/>
              </w:rPr>
              <w:t xml:space="preserve"> – młodych sadzonek drzew iglastych i </w:t>
            </w:r>
            <w:r w:rsidR="00EA0038">
              <w:rPr>
                <w:rFonts w:cs="Arial"/>
                <w:color w:val="FF0000"/>
              </w:rPr>
              <w:t>liściastych</w:t>
            </w:r>
            <w:r w:rsidR="00716DFA">
              <w:rPr>
                <w:rFonts w:cs="Arial"/>
                <w:color w:val="FF0000"/>
              </w:rPr>
              <w:t xml:space="preserve"> .  W przeciwieństwie do sadownictwa w lesie nie jest </w:t>
            </w:r>
            <w:r w:rsidR="00EA0038">
              <w:rPr>
                <w:rFonts w:cs="Arial"/>
                <w:color w:val="FF0000"/>
              </w:rPr>
              <w:t>raczej</w:t>
            </w:r>
            <w:r w:rsidR="00716DFA">
              <w:rPr>
                <w:rFonts w:cs="Arial"/>
                <w:color w:val="FF0000"/>
              </w:rPr>
              <w:t xml:space="preserve"> stosowany do bielenia i ochrony starszych drzew. </w:t>
            </w:r>
          </w:p>
        </w:tc>
      </w:tr>
    </w:tbl>
    <w:p w14:paraId="16D6994C" w14:textId="77777777" w:rsidR="00DD625D" w:rsidRPr="005D1758" w:rsidRDefault="00DD625D" w:rsidP="00DD625D">
      <w:pPr>
        <w:rPr>
          <w:b/>
          <w:bCs/>
        </w:rPr>
      </w:pPr>
    </w:p>
    <w:p w14:paraId="41C3B48E" w14:textId="77777777" w:rsidR="005D1758" w:rsidRDefault="005D1758" w:rsidP="00552E01">
      <w:pPr>
        <w:jc w:val="both"/>
        <w:rPr>
          <w:b/>
          <w:bCs/>
        </w:rPr>
      </w:pPr>
    </w:p>
    <w:p w14:paraId="0BF2820F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6DE5D8F0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71741E16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0EB32B61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0A93E59C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66DC3C14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29F9C42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lastRenderedPageBreak/>
              <w:t>Strategie łagodzące mające na celu zminimalizowanie ryzyka</w:t>
            </w:r>
            <w:r w:rsidRPr="005D1758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1"/>
            </w:r>
          </w:p>
        </w:tc>
      </w:tr>
      <w:tr w:rsidR="00C740FA" w:rsidRPr="005D1758" w14:paraId="753C2807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25C05CC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5FB54125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4791216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25BA402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563F389A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1FD88B2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515F45B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4F0147B4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7F28AB4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781BAE31" w14:textId="77777777" w:rsidTr="00CC29B1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526B512C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A15EE08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6599C12" w14:textId="77777777" w:rsidR="00AB3441" w:rsidRPr="003C51BA" w:rsidRDefault="00AB3441" w:rsidP="00CC29B1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3C51BA">
              <w:rPr>
                <w:rFonts w:cs="Arial"/>
                <w:b/>
                <w:color w:val="FF0000"/>
                <w:sz w:val="22"/>
                <w:szCs w:val="22"/>
              </w:rPr>
              <w:t>UWAGI PODSTAWOWE</w:t>
            </w:r>
          </w:p>
          <w:p w14:paraId="26C53F6C" w14:textId="77777777" w:rsidR="00716DFA" w:rsidRPr="003C51BA" w:rsidRDefault="00774DCF" w:rsidP="00716DF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51BA">
              <w:rPr>
                <w:rFonts w:cs="Arial"/>
                <w:color w:val="FF0000"/>
                <w:sz w:val="20"/>
                <w:szCs w:val="20"/>
              </w:rPr>
              <w:t>SILVACOL  to repelent zawierający syntetyczną substancję aktywną</w:t>
            </w:r>
            <w:r w:rsidR="00EA0038">
              <w:rPr>
                <w:rFonts w:cs="Arial"/>
                <w:color w:val="FF0000"/>
                <w:sz w:val="20"/>
                <w:szCs w:val="20"/>
              </w:rPr>
              <w:t>-</w:t>
            </w:r>
            <w:r w:rsidRPr="003C51BA">
              <w:rPr>
                <w:rFonts w:cs="Arial"/>
                <w:color w:val="FF0000"/>
                <w:sz w:val="20"/>
                <w:szCs w:val="20"/>
              </w:rPr>
              <w:t xml:space="preserve"> benzoesan </w:t>
            </w:r>
            <w:proofErr w:type="spellStart"/>
            <w:r w:rsidRPr="003C51BA">
              <w:rPr>
                <w:rFonts w:cs="Arial"/>
                <w:color w:val="FF0000"/>
                <w:sz w:val="20"/>
                <w:szCs w:val="20"/>
              </w:rPr>
              <w:t>denatonium</w:t>
            </w:r>
            <w:proofErr w:type="spellEnd"/>
            <w:r w:rsidR="00716DFA" w:rsidRPr="003C51BA">
              <w:rPr>
                <w:rFonts w:cs="Arial"/>
                <w:color w:val="FF0000"/>
                <w:sz w:val="20"/>
                <w:szCs w:val="20"/>
              </w:rPr>
              <w:t xml:space="preserve">. </w:t>
            </w:r>
            <w:r w:rsidR="00716DFA" w:rsidRPr="003C51B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Jest to </w:t>
            </w:r>
            <w:hyperlink r:id="rId15" w:tooltip="Związki organiczne" w:history="1">
              <w:r w:rsidR="00716DFA" w:rsidRPr="003C51BA">
                <w:rPr>
                  <w:rFonts w:eastAsia="Times New Roman" w:cstheme="minorHAnsi"/>
                  <w:color w:val="FF0000"/>
                  <w:sz w:val="20"/>
                  <w:szCs w:val="20"/>
                  <w:lang w:eastAsia="pl-PL"/>
                </w:rPr>
                <w:t>organiczny związek chemiczny</w:t>
              </w:r>
            </w:hyperlink>
            <w:r w:rsidR="00716DFA" w:rsidRPr="003C51B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, uznany za najbardziej gorzką ze wszystkich znanych </w:t>
            </w:r>
            <w:hyperlink r:id="rId16" w:tooltip="Substancja chemiczna" w:history="1">
              <w:r w:rsidR="00716DFA" w:rsidRPr="003C51BA">
                <w:rPr>
                  <w:rFonts w:eastAsia="Times New Roman" w:cstheme="minorHAnsi"/>
                  <w:color w:val="FF0000"/>
                  <w:sz w:val="20"/>
                  <w:szCs w:val="20"/>
                  <w:lang w:eastAsia="pl-PL"/>
                </w:rPr>
                <w:t>substancji</w:t>
              </w:r>
            </w:hyperlink>
            <w:r w:rsidR="00716DFA" w:rsidRPr="003C51B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. Związek ten jest powszechnie stosowany do skażania </w:t>
            </w:r>
            <w:hyperlink r:id="rId17" w:tooltip="Toksyczność" w:history="1">
              <w:r w:rsidR="00716DFA" w:rsidRPr="003C51BA">
                <w:rPr>
                  <w:rFonts w:eastAsia="Times New Roman" w:cstheme="minorHAnsi"/>
                  <w:color w:val="FF0000"/>
                  <w:sz w:val="20"/>
                  <w:szCs w:val="20"/>
                  <w:lang w:eastAsia="pl-PL"/>
                </w:rPr>
                <w:t>toksycznych</w:t>
              </w:r>
            </w:hyperlink>
            <w:r w:rsidR="00716DFA" w:rsidRPr="003C51B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substancji, których spożycie może powodować poważne </w:t>
            </w:r>
            <w:hyperlink r:id="rId18" w:tooltip="Zatrucie" w:history="1">
              <w:r w:rsidR="00716DFA" w:rsidRPr="003C51BA">
                <w:rPr>
                  <w:rFonts w:eastAsia="Times New Roman" w:cstheme="minorHAnsi"/>
                  <w:color w:val="FF0000"/>
                  <w:sz w:val="20"/>
                  <w:szCs w:val="20"/>
                  <w:lang w:eastAsia="pl-PL"/>
                </w:rPr>
                <w:t>zatrucia</w:t>
              </w:r>
            </w:hyperlink>
            <w:r w:rsidR="00716DFA" w:rsidRPr="003C51BA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716DFA" w:rsidRPr="003C51BA">
              <w:rPr>
                <w:rFonts w:cstheme="minorHAnsi"/>
                <w:color w:val="FF0000"/>
                <w:sz w:val="20"/>
                <w:szCs w:val="20"/>
              </w:rPr>
              <w:t xml:space="preserve">Już niewielkie ilości tej substancji są tak gorzkie, że połknięcie produktu, który zawiera tę substancję jest praktycznie niemożliwe. </w:t>
            </w:r>
            <w:r w:rsidR="003C51BA" w:rsidRPr="003C51BA">
              <w:rPr>
                <w:rFonts w:cstheme="minorHAnsi"/>
                <w:color w:val="FF0000"/>
                <w:sz w:val="20"/>
                <w:szCs w:val="20"/>
              </w:rPr>
              <w:t xml:space="preserve">Jest </w:t>
            </w:r>
            <w:r w:rsidR="00EA0038" w:rsidRPr="003C51BA">
              <w:rPr>
                <w:rFonts w:cstheme="minorHAnsi"/>
                <w:color w:val="FF0000"/>
                <w:sz w:val="20"/>
                <w:szCs w:val="20"/>
              </w:rPr>
              <w:t>równocześnie</w:t>
            </w:r>
            <w:r w:rsidR="00716DFA" w:rsidRPr="003C51BA">
              <w:rPr>
                <w:rFonts w:cstheme="minorHAnsi"/>
                <w:color w:val="FF0000"/>
                <w:sz w:val="20"/>
                <w:szCs w:val="20"/>
              </w:rPr>
              <w:t xml:space="preserve"> substancją o niskiej toksyczności, dlatego do tej pory nie określono dawki śmiertelnej dla ludzi (dla szczura wynosi ona 584 mg/kg).</w:t>
            </w:r>
          </w:p>
          <w:p w14:paraId="781EE6C0" w14:textId="77777777" w:rsidR="003C51BA" w:rsidRPr="003C51BA" w:rsidRDefault="003C51BA" w:rsidP="00716DFA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54874FC1" w14:textId="77777777" w:rsidR="003C51BA" w:rsidRPr="003C51BA" w:rsidRDefault="003C51BA" w:rsidP="00716DFA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3C51BA">
              <w:rPr>
                <w:rFonts w:cs="Arial"/>
                <w:b/>
                <w:color w:val="FF0000"/>
                <w:sz w:val="22"/>
                <w:szCs w:val="22"/>
              </w:rPr>
              <w:t>Zalecane ilości</w:t>
            </w:r>
            <w:r w:rsidRPr="003C51BA">
              <w:rPr>
                <w:b/>
                <w:color w:val="FF0000"/>
                <w:sz w:val="22"/>
                <w:szCs w:val="22"/>
              </w:rPr>
              <w:t xml:space="preserve"> repelentu SILVACOL:</w:t>
            </w:r>
          </w:p>
          <w:p w14:paraId="660B90A1" w14:textId="77777777" w:rsidR="003C51BA" w:rsidRPr="003C51BA" w:rsidRDefault="00716DFA" w:rsidP="003C51BA">
            <w:pPr>
              <w:pStyle w:val="NormalnyWeb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51BA">
              <w:rPr>
                <w:rFonts w:ascii="Calibri" w:hAnsi="Calibri" w:cs="Calibri"/>
                <w:color w:val="FF0000"/>
                <w:sz w:val="20"/>
                <w:szCs w:val="20"/>
              </w:rPr>
              <w:t>Sadzonki i młode drzewka sma</w:t>
            </w:r>
            <w:r w:rsidR="003C51BA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>rować równomiernie cienką warstwą</w:t>
            </w:r>
            <w:r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środka. Zużycie środka: sadzonki 2-5 letnich drzew liściastych i iglastych: 50,0 g/10 sadzonek: drzewa iglaste - pęd główny z bieżącego przyrostu</w:t>
            </w:r>
            <w:r w:rsidR="003C51BA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; </w:t>
            </w:r>
            <w:r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drzewa liściaste - cały pęd główny </w:t>
            </w:r>
            <w:r w:rsidR="00EA0038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>jeśli</w:t>
            </w:r>
            <w:r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je</w:t>
            </w:r>
            <w:r w:rsidR="003C51BA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>go grubość nie przekracza 1</w:t>
            </w:r>
            <w:r w:rsidR="00EA003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3C51BA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cm. </w:t>
            </w:r>
            <w:r w:rsidR="003C51BA" w:rsidRPr="003C51B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 przypadku większych drzewek</w:t>
            </w:r>
            <w:r w:rsidR="003C51BA" w:rsidRPr="003C51BA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 xml:space="preserve"> należy pnie i gałęzie pomalować od ziemi do wysokości 1,8 m</w:t>
            </w:r>
            <w:r w:rsidR="003C51BA" w:rsidRPr="003C51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64B85172" w14:textId="77777777" w:rsidR="00716DFA" w:rsidRPr="003C51BA" w:rsidRDefault="003C51BA" w:rsidP="003C51BA">
            <w:pPr>
              <w:spacing w:line="276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716DFA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Stosować w temperaturze powyżej 0 stopni Celsjusza, w dni bezdeszczowe. Po wyschnięciu </w:t>
            </w:r>
            <w:r w:rsidR="00EA0038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>preparat</w:t>
            </w:r>
            <w:r w:rsidR="00716DFA" w:rsidRPr="003C51B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jest odporny na zmywanie i utrzymuje się na pędach do 6 miesięcy.</w:t>
            </w:r>
          </w:p>
          <w:p w14:paraId="0E195DE8" w14:textId="77777777" w:rsidR="00774DCF" w:rsidRPr="003C51BA" w:rsidRDefault="00774DCF" w:rsidP="00CC29B1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E343870" w14:textId="77777777" w:rsidR="00774DCF" w:rsidRPr="005D1758" w:rsidRDefault="00774DCF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  <w:p w14:paraId="34661281" w14:textId="77777777" w:rsidR="005B1D4A" w:rsidRPr="005D1758" w:rsidRDefault="005B1D4A" w:rsidP="00CC29B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AE0B568" w14:textId="77777777" w:rsidR="00AB3441" w:rsidRPr="003C51BA" w:rsidRDefault="00AB3441" w:rsidP="00CC29B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C51BA">
              <w:rPr>
                <w:rFonts w:cs="Arial"/>
                <w:b/>
                <w:color w:val="FF0000"/>
                <w:sz w:val="20"/>
                <w:szCs w:val="20"/>
              </w:rPr>
              <w:t>PODSTAWOWE STRATEGIE</w:t>
            </w:r>
          </w:p>
          <w:p w14:paraId="299C28C1" w14:textId="77777777" w:rsidR="002E07FF" w:rsidRPr="005D1758" w:rsidRDefault="002E07FF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Środki ostrożności dla osób stosujących środek:</w:t>
            </w:r>
          </w:p>
          <w:p w14:paraId="66D44303" w14:textId="77777777" w:rsidR="003B4A5B" w:rsidRPr="00EA0038" w:rsidRDefault="003C51B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EA0038">
              <w:rPr>
                <w:color w:val="FF0000"/>
                <w:sz w:val="20"/>
                <w:szCs w:val="20"/>
              </w:rPr>
              <w:t>nanosić na rośliny za pomocą pędzla lub rękawicy gumowej</w:t>
            </w:r>
          </w:p>
        </w:tc>
      </w:tr>
      <w:tr w:rsidR="00C740FA" w:rsidRPr="005D1758" w14:paraId="22A333D5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58F6816A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3CFA3D7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FCD2AE6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0CF3917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771F9EB9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3191705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lastRenderedPageBreak/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494DF60" w14:textId="77777777" w:rsidR="00C740FA" w:rsidRPr="005D1758" w:rsidRDefault="00A075DA" w:rsidP="00FF682C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4A476F" w14:textId="77777777" w:rsidR="00C740FA" w:rsidRPr="005D1758" w:rsidRDefault="006F2D06" w:rsidP="00CC29B1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C740FA" w:rsidRPr="005D1758" w14:paraId="68444106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A08494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AF0B70F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FAB9B1B" w14:textId="77777777" w:rsidR="00C740FA" w:rsidRPr="005D1758" w:rsidRDefault="00FF682C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56A40C9" w14:textId="77777777" w:rsidR="00C740FA" w:rsidRPr="005D1758" w:rsidRDefault="006F2D06" w:rsidP="00CC29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C740FA" w:rsidRPr="005D1758" w14:paraId="5358A57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D7F738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D7EB3B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0C05E00" w14:textId="77777777" w:rsidR="00C740FA" w:rsidRPr="005D1758" w:rsidRDefault="00FF682C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EE2F187" w14:textId="77777777" w:rsidR="00C740FA" w:rsidRPr="005D1758" w:rsidRDefault="005B1D4A" w:rsidP="00CC29B1">
            <w:pPr>
              <w:rPr>
                <w:rFonts w:cs="Arial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C740FA" w:rsidRPr="005D1758" w14:paraId="19507EE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AD1269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4C15C13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8F5FEBF" w14:textId="77777777" w:rsidR="00C740FA" w:rsidRPr="005D1758" w:rsidRDefault="00FF682C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</w:t>
            </w:r>
            <w:r>
              <w:rPr>
                <w:rFonts w:cs="Arial"/>
                <w:color w:val="FF0000"/>
                <w:sz w:val="20"/>
                <w:szCs w:val="20"/>
              </w:rPr>
              <w:t>, Preparat bezpieczny dla ludzi, środowiska, pszczół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3AC7EA" w14:textId="77777777" w:rsidR="006F2D06" w:rsidRPr="005D1758" w:rsidRDefault="00170442" w:rsidP="006F2D06">
            <w:pPr>
              <w:rPr>
                <w:rFonts w:cs="Arial"/>
                <w:color w:val="FF0000"/>
                <w:sz w:val="20"/>
                <w:szCs w:val="20"/>
              </w:rPr>
            </w:pPr>
            <w:r w:rsidRPr="00170442">
              <w:rPr>
                <w:rFonts w:cs="Arial"/>
                <w:color w:val="FF0000"/>
                <w:sz w:val="20"/>
                <w:szCs w:val="20"/>
              </w:rPr>
              <w:t>Zastosowanie zgodnie z atestem PZH</w:t>
            </w:r>
            <w:r w:rsidR="00A075DA" w:rsidRPr="005D1758">
              <w:rPr>
                <w:rFonts w:cs="Arial"/>
                <w:color w:val="FF0000"/>
                <w:sz w:val="20"/>
                <w:szCs w:val="20"/>
              </w:rPr>
              <w:br/>
            </w:r>
          </w:p>
          <w:p w14:paraId="1A1456BE" w14:textId="77777777" w:rsidR="00C740FA" w:rsidRPr="005D1758" w:rsidRDefault="00C740FA" w:rsidP="00CC29B1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C740FA" w:rsidRPr="005D1758" w14:paraId="2AABA42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0205EFF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4E92DA3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0888740" w14:textId="77777777" w:rsidR="00C740FA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0B99591" w14:textId="77777777" w:rsidR="00C740FA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3EAB4DE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5C478A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D548EE2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FFA3824" w14:textId="77777777" w:rsidR="003B1580" w:rsidRPr="005D1758" w:rsidRDefault="00A075DA" w:rsidP="00FF682C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 dla HCV 1-4</w:t>
            </w:r>
            <w:r w:rsidR="00AB3441"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D486DDB" w14:textId="77777777" w:rsidR="003B1580" w:rsidRPr="005D1758" w:rsidRDefault="00170442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170442">
              <w:rPr>
                <w:rFonts w:cs="Arial"/>
                <w:color w:val="FF0000"/>
                <w:sz w:val="20"/>
                <w:szCs w:val="20"/>
              </w:rPr>
              <w:t>Zastosowanie zgodnie z atestem PZH</w:t>
            </w:r>
          </w:p>
        </w:tc>
      </w:tr>
      <w:tr w:rsidR="003B1580" w:rsidRPr="005D1758" w14:paraId="7634608D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CD8DE4D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6D51713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7E30B58" w14:textId="77777777" w:rsidR="003B1580" w:rsidRPr="005D1758" w:rsidRDefault="005B1D4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Brak ryzyka lub ryzyko minimalne</w:t>
            </w:r>
            <w:r w:rsidR="00FF682C">
              <w:rPr>
                <w:rFonts w:cs="Arial"/>
                <w:color w:val="FF0000"/>
                <w:sz w:val="20"/>
                <w:szCs w:val="20"/>
              </w:rPr>
              <w:t>- sadzonki pomalowane na biało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3707D5" w14:textId="77777777" w:rsidR="003B1580" w:rsidRPr="005D1758" w:rsidRDefault="006F2D06" w:rsidP="00A44BD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1BD85274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268E9D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DDF0D02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102D8E6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547BADC" w14:textId="77777777" w:rsidR="003B1580" w:rsidRPr="005D1758" w:rsidRDefault="003B1580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0B372526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54DFFF6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0554B3D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3342792" w14:textId="77777777" w:rsidR="003B1580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Brak ryzyka dla </w:t>
            </w:r>
            <w:r w:rsidRPr="005D1758">
              <w:rPr>
                <w:color w:val="FF0000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DEDFAA" w14:textId="77777777" w:rsidR="003B1580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3B1580" w:rsidRPr="005D1758" w14:paraId="7088FE65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D98D29C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AD4802A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545AEC3" w14:textId="77777777" w:rsidR="003B1580" w:rsidRPr="005D1758" w:rsidRDefault="006F2D06" w:rsidP="00000B9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O braku szkodliwości substancji aktywnej </w:t>
            </w:r>
            <w:r w:rsidRPr="003C51BA">
              <w:rPr>
                <w:rFonts w:cs="Arial"/>
                <w:color w:val="FF0000"/>
                <w:sz w:val="20"/>
                <w:szCs w:val="20"/>
              </w:rPr>
              <w:t xml:space="preserve">benzoesan </w:t>
            </w:r>
            <w:proofErr w:type="spellStart"/>
            <w:r w:rsidRPr="003C51BA">
              <w:rPr>
                <w:rFonts w:cs="Arial"/>
                <w:color w:val="FF0000"/>
                <w:sz w:val="20"/>
                <w:szCs w:val="20"/>
              </w:rPr>
              <w:t>denatonium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świadczy fakt iż jest on bardzo często dodawany między innymi </w:t>
            </w:r>
            <w:r w:rsidR="00000B92">
              <w:rPr>
                <w:rFonts w:cs="Arial"/>
                <w:color w:val="FF0000"/>
                <w:sz w:val="20"/>
                <w:szCs w:val="20"/>
              </w:rPr>
              <w:t xml:space="preserve">do </w:t>
            </w:r>
            <w:r>
              <w:rPr>
                <w:rFonts w:cs="Arial"/>
                <w:color w:val="FF0000"/>
                <w:sz w:val="20"/>
                <w:szCs w:val="20"/>
              </w:rPr>
              <w:t>produktów dla dzieci, które nie są do jedzenia aby ze względu na gorzki smak zniechęcić je do spożycia tych surowców.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D4E5112" w14:textId="77777777" w:rsidR="003B1580" w:rsidRPr="005D1758" w:rsidRDefault="00170442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170442">
              <w:rPr>
                <w:rFonts w:cs="Arial"/>
                <w:color w:val="FF0000"/>
                <w:sz w:val="20"/>
                <w:szCs w:val="20"/>
              </w:rPr>
              <w:t>Zastosowanie zgodnie z atestem PZH</w:t>
            </w:r>
          </w:p>
        </w:tc>
      </w:tr>
      <w:tr w:rsidR="003B1580" w:rsidRPr="005D1758" w14:paraId="7005C231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2946765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24F6D87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5C2993BB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21555E9" w14:textId="77777777" w:rsidR="00CC29B1" w:rsidRPr="006F2D06" w:rsidRDefault="00CC29B1" w:rsidP="00CC29B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F2D0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Najważniejsze zalety:</w:t>
            </w:r>
          </w:p>
          <w:p w14:paraId="478D917A" w14:textId="77777777" w:rsidR="006F2D06" w:rsidRPr="006F2D06" w:rsidRDefault="006F2D06" w:rsidP="006F2D06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6F2D06">
              <w:rPr>
                <w:rFonts w:ascii="Calibri" w:hAnsi="Calibri"/>
                <w:color w:val="FF0000"/>
                <w:sz w:val="20"/>
                <w:szCs w:val="20"/>
              </w:rPr>
              <w:t>Po wyschnięciu preparat jest odporny na zmywanie i utrzymuje się na pędach do 6 miesięcy</w:t>
            </w:r>
          </w:p>
          <w:p w14:paraId="1D12DA40" w14:textId="77777777" w:rsidR="006F2D06" w:rsidRPr="006F2D06" w:rsidRDefault="006F2D06" w:rsidP="006F2D06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6F2D06">
              <w:rPr>
                <w:rFonts w:ascii="Calibri" w:hAnsi="Calibri"/>
                <w:color w:val="FF0000"/>
                <w:sz w:val="20"/>
                <w:szCs w:val="20"/>
              </w:rPr>
              <w:t>Łatwy w użyciu</w:t>
            </w:r>
          </w:p>
          <w:p w14:paraId="774B966C" w14:textId="77777777" w:rsidR="006F2D06" w:rsidRPr="006F2D06" w:rsidRDefault="006F2D06" w:rsidP="006F2D06">
            <w:pPr>
              <w:pStyle w:val="Default"/>
              <w:rPr>
                <w:rFonts w:ascii="Calibri" w:hAnsi="Calibri"/>
                <w:color w:val="FF0000"/>
                <w:sz w:val="20"/>
                <w:szCs w:val="20"/>
              </w:rPr>
            </w:pPr>
            <w:r w:rsidRPr="006F2D06">
              <w:rPr>
                <w:rFonts w:ascii="Calibri" w:hAnsi="Calibri"/>
                <w:color w:val="FF0000"/>
                <w:sz w:val="20"/>
                <w:szCs w:val="20"/>
              </w:rPr>
              <w:t>Do kilkukrotnego wykorzystania</w:t>
            </w:r>
          </w:p>
          <w:p w14:paraId="29D6B0E3" w14:textId="77777777" w:rsidR="006F2D06" w:rsidRPr="006F2D06" w:rsidRDefault="006F2D06" w:rsidP="006F2D0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F2D06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Bezpieczny</w:t>
            </w:r>
            <w:r w:rsidRPr="006F2D0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dla ludzi i środowiska </w:t>
            </w:r>
          </w:p>
          <w:p w14:paraId="2C4CAD7D" w14:textId="77777777" w:rsidR="006F2D06" w:rsidRPr="006F2D06" w:rsidRDefault="00000B92" w:rsidP="006F2D06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O</w:t>
            </w:r>
            <w:r w:rsidR="006F2D06" w:rsidRPr="006F2D06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>dstraszacz</w:t>
            </w:r>
            <w:proofErr w:type="spellEnd"/>
            <w:r w:rsidR="006F2D06" w:rsidRPr="006F2D06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l-PL"/>
              </w:rPr>
              <w:t xml:space="preserve"> dzikiej zwierzyny i farba do bielenia</w:t>
            </w:r>
            <w:r w:rsidR="006F2D06" w:rsidRPr="006F2D0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drzew</w:t>
            </w:r>
          </w:p>
          <w:p w14:paraId="14A850A8" w14:textId="77777777" w:rsidR="006F2D06" w:rsidRPr="006F2D06" w:rsidRDefault="006F2D06" w:rsidP="006F2D06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F2D0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N</w:t>
            </w:r>
            <w:r w:rsidRPr="006F2D06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eastAsia="pl-PL"/>
              </w:rPr>
              <w:t>ie jest szkodliwy dla pszczół</w:t>
            </w:r>
          </w:p>
          <w:p w14:paraId="182AF202" w14:textId="77777777" w:rsidR="006F2D06" w:rsidRPr="006F2D06" w:rsidRDefault="006F2D06" w:rsidP="006F2D06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F2D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Przeznaczony do ochrony sadzonek drzew liściastych jak i iglastych przed zgryzaniem przez zające, sarny i inne zwierzęta. </w:t>
            </w:r>
          </w:p>
          <w:p w14:paraId="4292FA50" w14:textId="77777777" w:rsidR="003B1580" w:rsidRPr="005D1758" w:rsidRDefault="003B1580" w:rsidP="00CC29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B99A2C3" w14:textId="77777777" w:rsidR="003B1580" w:rsidRPr="005D1758" w:rsidRDefault="00170442" w:rsidP="00CC29B1">
            <w:pPr>
              <w:rPr>
                <w:rFonts w:cs="Arial"/>
                <w:sz w:val="20"/>
                <w:szCs w:val="20"/>
              </w:rPr>
            </w:pPr>
            <w:r w:rsidRPr="00170442">
              <w:rPr>
                <w:rFonts w:cs="Arial"/>
                <w:color w:val="FF0000"/>
                <w:sz w:val="20"/>
                <w:szCs w:val="20"/>
              </w:rPr>
              <w:t>Zastosowanie zgodnie z atestem PZH</w:t>
            </w:r>
          </w:p>
        </w:tc>
      </w:tr>
      <w:tr w:rsidR="00913C09" w:rsidRPr="005D1758" w14:paraId="21B9FA5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7F7CA36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8154F8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49A07E7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42DF26B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913C09" w:rsidRPr="005D1758" w14:paraId="7A3A1F4C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6C5C507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C248D30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14936CA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0C7C0BF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913C09" w:rsidRPr="005D1758" w14:paraId="0C7F1A13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2CFA47E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2E62F3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3AF4394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5C04761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</w:tr>
      <w:tr w:rsidR="00913C09" w:rsidRPr="005D1758" w14:paraId="3B52FDCC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3180979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C300DC5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A8D1BDA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5D1758">
              <w:rPr>
                <w:rFonts w:cs="Arial"/>
                <w:color w:val="FF0000"/>
                <w:sz w:val="20"/>
                <w:szCs w:val="20"/>
              </w:rPr>
              <w:t>Zastosowanie 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727082" w14:textId="77777777" w:rsidR="00913C09" w:rsidRPr="00170442" w:rsidRDefault="00913C09" w:rsidP="00000B92">
            <w:pPr>
              <w:rPr>
                <w:rFonts w:cs="Arial"/>
                <w:color w:val="FF0000"/>
                <w:sz w:val="20"/>
                <w:szCs w:val="20"/>
              </w:rPr>
            </w:pPr>
            <w:r w:rsidRPr="00170442">
              <w:rPr>
                <w:rFonts w:cs="Arial"/>
                <w:color w:val="FF0000"/>
                <w:sz w:val="20"/>
                <w:szCs w:val="20"/>
              </w:rPr>
              <w:t xml:space="preserve">Zastosowanie zgodnie z </w:t>
            </w:r>
            <w:r w:rsidR="00000B92" w:rsidRPr="00170442">
              <w:rPr>
                <w:rFonts w:cs="Arial"/>
                <w:color w:val="FF0000"/>
                <w:sz w:val="20"/>
                <w:szCs w:val="20"/>
              </w:rPr>
              <w:t>atestem PZH</w:t>
            </w:r>
          </w:p>
        </w:tc>
      </w:tr>
      <w:tr w:rsidR="00913C09" w:rsidRPr="005D1758" w14:paraId="14BEC7D2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79DF5B64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8C1F4D5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3DA3944" w14:textId="77777777" w:rsidR="00913C09" w:rsidRPr="005D1758" w:rsidRDefault="006F2D06" w:rsidP="00CC29B1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5D3ADC9" w14:textId="77777777" w:rsidR="00913C09" w:rsidRPr="00170442" w:rsidRDefault="003B4A5B" w:rsidP="00000B92">
            <w:pPr>
              <w:rPr>
                <w:rFonts w:cs="Arial"/>
                <w:color w:val="FF0000"/>
                <w:sz w:val="20"/>
                <w:szCs w:val="20"/>
              </w:rPr>
            </w:pPr>
            <w:r w:rsidRPr="00170442">
              <w:rPr>
                <w:rFonts w:cs="Arial"/>
                <w:color w:val="FF0000"/>
                <w:sz w:val="20"/>
                <w:szCs w:val="20"/>
              </w:rPr>
              <w:t xml:space="preserve">Zastosowanie zgodnie z </w:t>
            </w:r>
            <w:r w:rsidR="00000B92" w:rsidRPr="00170442">
              <w:rPr>
                <w:rFonts w:cs="Arial"/>
                <w:color w:val="FF0000"/>
                <w:sz w:val="20"/>
                <w:szCs w:val="20"/>
              </w:rPr>
              <w:t>atestem PZH</w:t>
            </w:r>
          </w:p>
        </w:tc>
      </w:tr>
    </w:tbl>
    <w:p w14:paraId="760487EC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26DF5143" w14:textId="77777777" w:rsidR="0046726D" w:rsidRPr="005D1758" w:rsidRDefault="0046726D" w:rsidP="0046726D">
      <w:pPr>
        <w:rPr>
          <w:b/>
          <w:bCs/>
        </w:rPr>
      </w:pPr>
      <w:r w:rsidRPr="005D1758">
        <w:rPr>
          <w:b/>
          <w:bCs/>
        </w:rPr>
        <w:lastRenderedPageBreak/>
        <w:t>Zmienne ekspozycji</w:t>
      </w:r>
      <w:r w:rsidR="00397A18" w:rsidRPr="005D1758">
        <w:rPr>
          <w:b/>
          <w:bCs/>
        </w:rPr>
        <w:t xml:space="preserve"> (do uwzględnienia w tabeli zgodnie </w:t>
      </w:r>
      <w:r w:rsidR="00397A18" w:rsidRPr="00170442">
        <w:rPr>
          <w:b/>
          <w:bCs/>
          <w:color w:val="FF0000"/>
        </w:rPr>
        <w:t xml:space="preserve">z </w:t>
      </w:r>
      <w:r w:rsidR="00000B92" w:rsidRPr="00170442">
        <w:rPr>
          <w:b/>
          <w:bCs/>
          <w:color w:val="FF0000"/>
        </w:rPr>
        <w:t xml:space="preserve">atestem PZH </w:t>
      </w:r>
      <w:r w:rsidR="00397A18" w:rsidRPr="00170442">
        <w:rPr>
          <w:b/>
          <w:bCs/>
          <w:color w:val="FF0000"/>
        </w:rPr>
        <w:t xml:space="preserve">środka </w:t>
      </w:r>
      <w:proofErr w:type="spellStart"/>
      <w:r w:rsidR="00000B92" w:rsidRPr="00170442">
        <w:rPr>
          <w:b/>
          <w:bCs/>
          <w:color w:val="FF0000"/>
        </w:rPr>
        <w:t>Silvacol</w:t>
      </w:r>
      <w:proofErr w:type="spellEnd"/>
      <w:r w:rsidR="00000B92" w:rsidRPr="00170442">
        <w:rPr>
          <w:b/>
          <w:bCs/>
          <w:color w:val="FF0000"/>
        </w:rPr>
        <w:t xml:space="preserve"> </w:t>
      </w:r>
      <w:r w:rsidR="00631391">
        <w:rPr>
          <w:b/>
          <w:bCs/>
        </w:rPr>
        <w:t>jeśli mają</w:t>
      </w:r>
      <w:r w:rsidR="00A44BDA">
        <w:rPr>
          <w:b/>
          <w:bCs/>
        </w:rPr>
        <w:t xml:space="preserve"> zastosowanie – przyp. DZ</w:t>
      </w:r>
      <w:r w:rsidR="00397A18" w:rsidRPr="005D1758">
        <w:rPr>
          <w:b/>
          <w:bCs/>
        </w:rPr>
        <w:t>)</w:t>
      </w:r>
    </w:p>
    <w:p w14:paraId="603D39CD" w14:textId="77777777" w:rsidR="0046726D" w:rsidRPr="005D1758" w:rsidRDefault="0046726D" w:rsidP="00397A18">
      <w:pPr>
        <w:spacing w:after="0"/>
        <w:rPr>
          <w:b/>
          <w:bCs/>
        </w:rPr>
      </w:pPr>
      <w:r w:rsidRPr="005D1758">
        <w:rPr>
          <w:b/>
          <w:bCs/>
        </w:rPr>
        <w:t>Opisując, w powyższej tabeli, strategie łagodzące, uwzględnia się następujący</w:t>
      </w:r>
    </w:p>
    <w:p w14:paraId="27DF4BBC" w14:textId="77777777" w:rsidR="0046726D" w:rsidRPr="005D1758" w:rsidRDefault="0046726D" w:rsidP="00397A18">
      <w:pPr>
        <w:spacing w:after="0"/>
        <w:rPr>
          <w:b/>
          <w:bCs/>
        </w:rPr>
      </w:pPr>
      <w:r w:rsidRPr="005D1758">
        <w:rPr>
          <w:b/>
          <w:bCs/>
        </w:rPr>
        <w:t>minimalny wykaz zmiennych ekspozycji:</w:t>
      </w:r>
      <w:r w:rsidR="00AD0083" w:rsidRPr="005D1758">
        <w:rPr>
          <w:b/>
          <w:bCs/>
        </w:rPr>
        <w:t xml:space="preserve"> </w:t>
      </w:r>
    </w:p>
    <w:p w14:paraId="3C69321B" w14:textId="77777777" w:rsidR="00C37558" w:rsidRPr="005D1758" w:rsidRDefault="0046726D" w:rsidP="00C3755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Formuła pestycydu (rodzaj i składniki).</w:t>
      </w:r>
    </w:p>
    <w:p w14:paraId="2AB4023D" w14:textId="77777777" w:rsidR="00C37558" w:rsidRPr="005D1758" w:rsidRDefault="00C37558" w:rsidP="00C3755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Mieszanina składników czynnych (skład i proces mieszania).</w:t>
      </w:r>
    </w:p>
    <w:p w14:paraId="56C69C20" w14:textId="77777777" w:rsidR="006636D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Stężenie składników czynnych.</w:t>
      </w:r>
    </w:p>
    <w:p w14:paraId="1C6059C9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Dawka składników czynnych.</w:t>
      </w:r>
    </w:p>
    <w:p w14:paraId="3761258C" w14:textId="77777777" w:rsidR="00C37558" w:rsidRPr="005D1758" w:rsidRDefault="0046726D" w:rsidP="00C3755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Częstotliwość stosowania i odstępy pomiędzy stosowaniem.</w:t>
      </w:r>
    </w:p>
    <w:p w14:paraId="24EA482C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Skala obszaru poddanego działaniu.</w:t>
      </w:r>
    </w:p>
    <w:p w14:paraId="4ADF916E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Metoda aplikacji (</w:t>
      </w:r>
      <w:proofErr w:type="spellStart"/>
      <w:r w:rsidRPr="005D1758">
        <w:rPr>
          <w:b/>
          <w:bCs/>
        </w:rPr>
        <w:t>np.miejscowa</w:t>
      </w:r>
      <w:proofErr w:type="spellEnd"/>
      <w:r w:rsidRPr="005D1758">
        <w:rPr>
          <w:b/>
          <w:bCs/>
        </w:rPr>
        <w:t xml:space="preserve">, </w:t>
      </w:r>
      <w:proofErr w:type="spellStart"/>
      <w:r w:rsidRPr="005D1758">
        <w:rPr>
          <w:b/>
          <w:bCs/>
        </w:rPr>
        <w:t>dolistna</w:t>
      </w:r>
      <w:proofErr w:type="spellEnd"/>
      <w:r w:rsidRPr="005D1758">
        <w:rPr>
          <w:b/>
          <w:bCs/>
        </w:rPr>
        <w:t xml:space="preserve">, oprysk, </w:t>
      </w:r>
      <w:proofErr w:type="spellStart"/>
      <w:r w:rsidRPr="005D1758">
        <w:rPr>
          <w:b/>
          <w:bCs/>
        </w:rPr>
        <w:t>oprys</w:t>
      </w:r>
      <w:proofErr w:type="spellEnd"/>
      <w:r w:rsidRPr="005D1758">
        <w:rPr>
          <w:b/>
          <w:bCs/>
        </w:rPr>
        <w:t xml:space="preserve"> z powietrza)</w:t>
      </w:r>
    </w:p>
    <w:p w14:paraId="7DDB13CE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System i urządzenie służące do aplikacji (np. opryskiwacz w plecaku,</w:t>
      </w:r>
    </w:p>
    <w:p w14:paraId="5893C6C9" w14:textId="77777777" w:rsidR="0046726D" w:rsidRPr="005D1758" w:rsidRDefault="0046726D" w:rsidP="002E07FF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śmigłowiec, dron, samolot)</w:t>
      </w:r>
    </w:p>
    <w:p w14:paraId="383DFE16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Liczba dotychczasowych aplikacji.</w:t>
      </w:r>
    </w:p>
    <w:p w14:paraId="3D496F81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Metabolity substancji czynnej.</w:t>
      </w:r>
    </w:p>
    <w:p w14:paraId="454775B7" w14:textId="77777777" w:rsidR="0046726D" w:rsidRPr="00A44BDA" w:rsidRDefault="0046726D" w:rsidP="002C0068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A44BDA">
        <w:rPr>
          <w:b/>
          <w:bCs/>
        </w:rPr>
        <w:t>Możliwości i umiejętności pracowników (uprawnienie do stosowania</w:t>
      </w:r>
      <w:r w:rsidR="00A44BDA">
        <w:rPr>
          <w:b/>
          <w:bCs/>
        </w:rPr>
        <w:t xml:space="preserve"> </w:t>
      </w:r>
      <w:r w:rsidRPr="00A44BDA">
        <w:rPr>
          <w:b/>
          <w:bCs/>
        </w:rPr>
        <w:t>pestycydów, szkolenie, umiejętność czytania i rozumienia etykiet i instrukcji).</w:t>
      </w:r>
    </w:p>
    <w:p w14:paraId="617BBCC1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Środki ochrony osobistej.</w:t>
      </w:r>
    </w:p>
    <w:p w14:paraId="630518B2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Sprzęt ratunkowy (np. zestawy do pierwszej pomocy, zestawy do zbierania</w:t>
      </w:r>
    </w:p>
    <w:p w14:paraId="559143AC" w14:textId="77777777" w:rsidR="0046726D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wycieków).</w:t>
      </w:r>
    </w:p>
    <w:p w14:paraId="40DE039D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Warunki na danym obszarze (np. rodzaj gleby, topografia terenu).</w:t>
      </w:r>
    </w:p>
    <w:p w14:paraId="203D679E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Przewidywane warunki pogodowe i klimatyczne (np. prędkość i kierunek</w:t>
      </w:r>
    </w:p>
    <w:p w14:paraId="6EBCDA1C" w14:textId="77777777" w:rsidR="0046726D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wiatru, temperatura, wilgotność).</w:t>
      </w:r>
    </w:p>
    <w:p w14:paraId="5E084979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 xml:space="preserve">Znoszenie (tzw. spray </w:t>
      </w:r>
      <w:proofErr w:type="spellStart"/>
      <w:r w:rsidRPr="005D1758">
        <w:rPr>
          <w:b/>
          <w:bCs/>
        </w:rPr>
        <w:t>drift</w:t>
      </w:r>
      <w:proofErr w:type="spellEnd"/>
      <w:r w:rsidRPr="005D1758">
        <w:rPr>
          <w:b/>
          <w:bCs/>
        </w:rPr>
        <w:t>)</w:t>
      </w:r>
    </w:p>
    <w:p w14:paraId="7EF796F9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Systemy gospodarki odpadami.</w:t>
      </w:r>
    </w:p>
    <w:p w14:paraId="7B67BD7F" w14:textId="77777777" w:rsidR="0046726D" w:rsidRPr="005D1758" w:rsidRDefault="0046726D" w:rsidP="006636DD">
      <w:pPr>
        <w:pStyle w:val="Akapitzlist"/>
        <w:numPr>
          <w:ilvl w:val="0"/>
          <w:numId w:val="5"/>
        </w:numPr>
        <w:ind w:left="360"/>
        <w:rPr>
          <w:b/>
          <w:bCs/>
        </w:rPr>
      </w:pPr>
      <w:r w:rsidRPr="005D1758">
        <w:rPr>
          <w:b/>
          <w:bCs/>
        </w:rPr>
        <w:t>Informacje dostępne dla sąsiadów na temat aplikacji pestycydów (np. na</w:t>
      </w:r>
    </w:p>
    <w:p w14:paraId="55DDB8D5" w14:textId="77777777" w:rsidR="0046726D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temat ryzyka związanego ze stosowaniem pestycydów, okresu prewencji po</w:t>
      </w:r>
    </w:p>
    <w:p w14:paraId="36089B6C" w14:textId="77777777" w:rsidR="007B568B" w:rsidRPr="005D1758" w:rsidRDefault="0046726D" w:rsidP="00397A18">
      <w:pPr>
        <w:pStyle w:val="Akapitzlist"/>
        <w:ind w:left="360"/>
        <w:rPr>
          <w:b/>
          <w:bCs/>
        </w:rPr>
      </w:pPr>
      <w:r w:rsidRPr="005D1758">
        <w:rPr>
          <w:b/>
          <w:bCs/>
        </w:rPr>
        <w:t>stosowaniu).</w:t>
      </w:r>
    </w:p>
    <w:p w14:paraId="033F4220" w14:textId="77777777" w:rsidR="007029E2" w:rsidRPr="005D1758" w:rsidRDefault="007029E2" w:rsidP="0046726D">
      <w:pPr>
        <w:rPr>
          <w:b/>
          <w:bCs/>
        </w:rPr>
      </w:pPr>
    </w:p>
    <w:p w14:paraId="2CD86878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br/>
      </w:r>
    </w:p>
    <w:p w14:paraId="052C88D5" w14:textId="77777777" w:rsidR="007029E2" w:rsidRPr="005D1758" w:rsidRDefault="007029E2">
      <w:pPr>
        <w:rPr>
          <w:b/>
          <w:bCs/>
        </w:rPr>
      </w:pPr>
    </w:p>
    <w:p w14:paraId="188A1791" w14:textId="77777777" w:rsidR="007029E2" w:rsidRPr="005D1758" w:rsidRDefault="007029E2" w:rsidP="0046726D">
      <w:pPr>
        <w:rPr>
          <w:b/>
          <w:bCs/>
        </w:rPr>
        <w:sectPr w:rsidR="007029E2" w:rsidRPr="005D17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B6D465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74FEDB70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70355317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6845F0FB" w14:textId="77777777" w:rsidTr="007752A1">
        <w:tc>
          <w:tcPr>
            <w:tcW w:w="4248" w:type="dxa"/>
          </w:tcPr>
          <w:p w14:paraId="48C19FDA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471E49D5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70034FD6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4A1AAE5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7C9E30B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5BBFCDC5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0D3FEAAC" w14:textId="77777777" w:rsidTr="007752A1">
        <w:tc>
          <w:tcPr>
            <w:tcW w:w="14454" w:type="dxa"/>
            <w:gridSpan w:val="6"/>
            <w:shd w:val="clear" w:color="auto" w:fill="488FB4"/>
          </w:tcPr>
          <w:p w14:paraId="5E3AB508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6E5ECF" w:rsidRPr="005D1758" w14:paraId="3B214A6A" w14:textId="77777777" w:rsidTr="007752A1">
        <w:tc>
          <w:tcPr>
            <w:tcW w:w="4248" w:type="dxa"/>
          </w:tcPr>
          <w:p w14:paraId="681A7823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Przeprowadzenie oceny ryzyka w ramach systemu zintegrowanej </w:t>
            </w:r>
            <w:bookmarkStart w:id="0" w:name="_Hlk531702827"/>
            <w:r w:rsidRPr="005D1758">
              <w:t>ochrony przed szkodnikami</w:t>
            </w:r>
            <w:r w:rsidRPr="005D1758">
              <w:rPr>
                <w:sz w:val="21"/>
                <w:szCs w:val="21"/>
              </w:rPr>
              <w:t xml:space="preserve"> (ZOPS) zgodnie z SIR (w tym systemów stosowanych w obiektach lub do celów badawczych)</w:t>
            </w:r>
            <w:bookmarkEnd w:id="0"/>
            <w:r w:rsidRPr="005D1758">
              <w:rPr>
                <w:sz w:val="21"/>
                <w:szCs w:val="21"/>
              </w:rPr>
              <w:t>.</w:t>
            </w:r>
          </w:p>
          <w:p w14:paraId="5A7FC4A2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PC mogą używać wzoru ORŚIS do wypełnienia tej oceny na poziomie JG lub wykazać, że wymogi ORŚIS zostały spełnione, jeśli w firmie są wdrożone inne systemy w celu spełnienia wymogów (bez wypełniania wzoru). Na podobnych warunkach, oceny RŚIS mogą być przenoszone z jednego posiadacza certyfikatu na innego na poziomie krajowym.</w:t>
            </w:r>
          </w:p>
          <w:p w14:paraId="72A76698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1B17DD11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Posiadacze certyfikatów (PC)</w:t>
            </w:r>
          </w:p>
        </w:tc>
        <w:tc>
          <w:tcPr>
            <w:tcW w:w="1569" w:type="dxa"/>
          </w:tcPr>
          <w:p w14:paraId="7D8894C9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Wszystkie pestycydy syntetyczne</w:t>
            </w:r>
          </w:p>
          <w:p w14:paraId="7BC0EB63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</w:p>
          <w:p w14:paraId="33132549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82" w:type="dxa"/>
          </w:tcPr>
          <w:p w14:paraId="008A1FCA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Określenie najmniej ryzykownej opcji zwalczania szkodników, chwastów lub chorób.</w:t>
            </w:r>
          </w:p>
          <w:p w14:paraId="4DF239AF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Określenie dodatkowych lub szczególnych środków łagodzących wymaganych do kontrolowania ryzyka typowego dla JG/oddziału.</w:t>
            </w:r>
          </w:p>
          <w:p w14:paraId="609BDC58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Wsparcie GOS dla ORŚIS jeśli używany jest wzór ORŚIS.</w:t>
            </w:r>
          </w:p>
          <w:p w14:paraId="5661053E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14:paraId="6312FD3A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6A8994E0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6D9F605E" w14:textId="77777777" w:rsidTr="007752A1">
        <w:tc>
          <w:tcPr>
            <w:tcW w:w="14454" w:type="dxa"/>
            <w:gridSpan w:val="6"/>
            <w:shd w:val="clear" w:color="auto" w:fill="488FB4"/>
          </w:tcPr>
          <w:p w14:paraId="073093B6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6E5ECF" w:rsidRPr="005D1758" w14:paraId="7C98A9D7" w14:textId="77777777" w:rsidTr="007752A1">
        <w:tc>
          <w:tcPr>
            <w:tcW w:w="4248" w:type="dxa"/>
          </w:tcPr>
          <w:p w14:paraId="1640D948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Włączenie wyników oceny RŚIS do planów operacyjnych lub zaleceń. </w:t>
            </w:r>
          </w:p>
          <w:p w14:paraId="50DC5E9F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Wdrożenie środków łagodzących.</w:t>
            </w:r>
          </w:p>
        </w:tc>
        <w:tc>
          <w:tcPr>
            <w:tcW w:w="1562" w:type="dxa"/>
          </w:tcPr>
          <w:p w14:paraId="3126CDD5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Posiadacze certyfikatów (PC)</w:t>
            </w:r>
          </w:p>
        </w:tc>
        <w:tc>
          <w:tcPr>
            <w:tcW w:w="1569" w:type="dxa"/>
          </w:tcPr>
          <w:p w14:paraId="38B33693" w14:textId="77777777" w:rsidR="006E5ECF" w:rsidRPr="005D1758" w:rsidRDefault="006E5ECF" w:rsidP="00F37C0C">
            <w:pPr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Wszystkie pestycydy syntetyczne</w:t>
            </w:r>
          </w:p>
        </w:tc>
        <w:tc>
          <w:tcPr>
            <w:tcW w:w="2182" w:type="dxa"/>
          </w:tcPr>
          <w:p w14:paraId="4E418935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Kontrola ryzyka podczas stosowania pestycydów syntetycznych.</w:t>
            </w:r>
          </w:p>
          <w:p w14:paraId="43398DFF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1982" w:type="dxa"/>
          </w:tcPr>
          <w:p w14:paraId="12093E04" w14:textId="77777777" w:rsidR="006E5ECF" w:rsidRDefault="006E5ECF" w:rsidP="00F37C0C">
            <w:pPr>
              <w:widowControl w:val="0"/>
              <w:spacing w:before="80"/>
              <w:rPr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>Związana z czasem trwania operacji.</w:t>
            </w:r>
          </w:p>
          <w:p w14:paraId="079CD2C8" w14:textId="77777777" w:rsidR="00F050D7" w:rsidRDefault="00F050D7" w:rsidP="00F37C0C">
            <w:pPr>
              <w:widowControl w:val="0"/>
              <w:spacing w:before="80"/>
              <w:rPr>
                <w:sz w:val="21"/>
                <w:szCs w:val="21"/>
              </w:rPr>
            </w:pPr>
          </w:p>
          <w:p w14:paraId="264F0665" w14:textId="77777777" w:rsidR="00F050D7" w:rsidRPr="005D1758" w:rsidRDefault="00F050D7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</w:p>
        </w:tc>
        <w:tc>
          <w:tcPr>
            <w:tcW w:w="2911" w:type="dxa"/>
          </w:tcPr>
          <w:p w14:paraId="40B50BF6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sz w:val="21"/>
                <w:szCs w:val="21"/>
              </w:rPr>
            </w:pPr>
            <w:r w:rsidRPr="005D1758">
              <w:rPr>
                <w:sz w:val="21"/>
                <w:szCs w:val="21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07B89645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697D9A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1D04610D" w14:textId="77777777" w:rsidR="003713D3" w:rsidRDefault="00000B92" w:rsidP="0046726D">
      <w:pPr>
        <w:rPr>
          <w:b/>
          <w:bCs/>
        </w:rPr>
      </w:pPr>
      <w:r w:rsidRPr="00EB7085">
        <w:rPr>
          <w:b/>
          <w:bCs/>
          <w:color w:val="FF0000"/>
        </w:rPr>
        <w:t xml:space="preserve">ATEST PZH </w:t>
      </w:r>
      <w:r w:rsidR="003713D3" w:rsidRPr="00EB7085">
        <w:rPr>
          <w:b/>
          <w:bCs/>
          <w:color w:val="FF0000"/>
        </w:rPr>
        <w:t xml:space="preserve">STOSOWANIA </w:t>
      </w:r>
      <w:r w:rsidRPr="00EB7085">
        <w:rPr>
          <w:b/>
          <w:bCs/>
          <w:color w:val="FF0000"/>
        </w:rPr>
        <w:t xml:space="preserve">PESTYCYDU </w:t>
      </w:r>
      <w:r w:rsidR="006F2D06" w:rsidRPr="00EB7085">
        <w:rPr>
          <w:b/>
          <w:bCs/>
          <w:color w:val="FF0000"/>
        </w:rPr>
        <w:t>-</w:t>
      </w:r>
      <w:r w:rsidR="006F2D06">
        <w:rPr>
          <w:b/>
          <w:bCs/>
        </w:rPr>
        <w:t xml:space="preserve"> REPELENTU</w:t>
      </w:r>
    </w:p>
    <w:p w14:paraId="4C0BFCF9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6F60F6E9" w14:textId="77777777" w:rsidR="002B5285" w:rsidRPr="00162040" w:rsidRDefault="002B5285" w:rsidP="002B5285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75ED2F12" w14:textId="77777777" w:rsidR="002B5285" w:rsidRPr="00162040" w:rsidRDefault="002B5285" w:rsidP="002B5285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2733AB12" w14:textId="77777777" w:rsidR="002B5285" w:rsidRDefault="002B5285" w:rsidP="002B5285">
      <w:pPr>
        <w:rPr>
          <w:b/>
          <w:bCs/>
        </w:rPr>
      </w:pPr>
      <w:r>
        <w:rPr>
          <w:b/>
          <w:bCs/>
        </w:rPr>
        <w:t>Grzegorz Młynar</w:t>
      </w:r>
    </w:p>
    <w:p w14:paraId="02F4C0B7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7CC3" w14:textId="77777777" w:rsidR="007C6F5F" w:rsidRDefault="007C6F5F" w:rsidP="00552E01">
      <w:pPr>
        <w:spacing w:after="0" w:line="240" w:lineRule="auto"/>
      </w:pPr>
      <w:r>
        <w:separator/>
      </w:r>
    </w:p>
  </w:endnote>
  <w:endnote w:type="continuationSeparator" w:id="0">
    <w:p w14:paraId="7E62FE9C" w14:textId="77777777" w:rsidR="007C6F5F" w:rsidRDefault="007C6F5F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3F00" w14:textId="77777777" w:rsidR="007C6F5F" w:rsidRDefault="007C6F5F" w:rsidP="00552E01">
      <w:pPr>
        <w:spacing w:after="0" w:line="240" w:lineRule="auto"/>
      </w:pPr>
      <w:r>
        <w:separator/>
      </w:r>
    </w:p>
  </w:footnote>
  <w:footnote w:type="continuationSeparator" w:id="0">
    <w:p w14:paraId="7A7BC5BD" w14:textId="77777777" w:rsidR="007C6F5F" w:rsidRDefault="007C6F5F" w:rsidP="00552E01">
      <w:pPr>
        <w:spacing w:after="0" w:line="240" w:lineRule="auto"/>
      </w:pPr>
      <w:r>
        <w:continuationSeparator/>
      </w:r>
    </w:p>
  </w:footnote>
  <w:footnote w:id="1">
    <w:p w14:paraId="06150892" w14:textId="77777777" w:rsidR="002C0068" w:rsidRPr="003C78D8" w:rsidRDefault="002C0068" w:rsidP="00552E0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1</w:t>
      </w:r>
      <w:r>
        <w:rPr>
          <w:rFonts w:ascii="Arial" w:hAnsi="Arial"/>
        </w:rPr>
        <w:t xml:space="preserve">Strategie łagodzące zostaną opracowane z uwzględnieniem co najmniej poniższego minimalnego wykazu zmiennych narażenia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4CEB"/>
    <w:multiLevelType w:val="hybridMultilevel"/>
    <w:tmpl w:val="F482B8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00B92"/>
    <w:rsid w:val="0000425F"/>
    <w:rsid w:val="000221E8"/>
    <w:rsid w:val="00045D4C"/>
    <w:rsid w:val="00071432"/>
    <w:rsid w:val="00080157"/>
    <w:rsid w:val="000F0B2F"/>
    <w:rsid w:val="00122211"/>
    <w:rsid w:val="00127E96"/>
    <w:rsid w:val="001536B1"/>
    <w:rsid w:val="00157DC3"/>
    <w:rsid w:val="001621FD"/>
    <w:rsid w:val="00170442"/>
    <w:rsid w:val="00173151"/>
    <w:rsid w:val="001B4825"/>
    <w:rsid w:val="001C01EB"/>
    <w:rsid w:val="001D679E"/>
    <w:rsid w:val="001F1D6D"/>
    <w:rsid w:val="00214D40"/>
    <w:rsid w:val="002179BC"/>
    <w:rsid w:val="00227437"/>
    <w:rsid w:val="00240339"/>
    <w:rsid w:val="00251D1A"/>
    <w:rsid w:val="002531D4"/>
    <w:rsid w:val="002A1A39"/>
    <w:rsid w:val="002B5285"/>
    <w:rsid w:val="002C0068"/>
    <w:rsid w:val="002D3A3F"/>
    <w:rsid w:val="002E07FF"/>
    <w:rsid w:val="002E5BC8"/>
    <w:rsid w:val="002F33F9"/>
    <w:rsid w:val="002F448A"/>
    <w:rsid w:val="0031261D"/>
    <w:rsid w:val="00354E26"/>
    <w:rsid w:val="003713D3"/>
    <w:rsid w:val="00397A18"/>
    <w:rsid w:val="003A37EC"/>
    <w:rsid w:val="003B1580"/>
    <w:rsid w:val="003B4A5B"/>
    <w:rsid w:val="003B4B82"/>
    <w:rsid w:val="003B5DE6"/>
    <w:rsid w:val="003C51BA"/>
    <w:rsid w:val="003E7543"/>
    <w:rsid w:val="004105A2"/>
    <w:rsid w:val="00430488"/>
    <w:rsid w:val="00466B5D"/>
    <w:rsid w:val="0046726D"/>
    <w:rsid w:val="004A7035"/>
    <w:rsid w:val="004D151C"/>
    <w:rsid w:val="004E3A5C"/>
    <w:rsid w:val="005225C8"/>
    <w:rsid w:val="00541632"/>
    <w:rsid w:val="00543B98"/>
    <w:rsid w:val="00552E01"/>
    <w:rsid w:val="00553AF8"/>
    <w:rsid w:val="00595EA4"/>
    <w:rsid w:val="005B1D4A"/>
    <w:rsid w:val="005D1758"/>
    <w:rsid w:val="00603A0E"/>
    <w:rsid w:val="0060498D"/>
    <w:rsid w:val="00606A36"/>
    <w:rsid w:val="00631391"/>
    <w:rsid w:val="006636DD"/>
    <w:rsid w:val="00696E1F"/>
    <w:rsid w:val="006B4D14"/>
    <w:rsid w:val="006D46E4"/>
    <w:rsid w:val="006E5ECF"/>
    <w:rsid w:val="006F2D06"/>
    <w:rsid w:val="0070297B"/>
    <w:rsid w:val="007029E2"/>
    <w:rsid w:val="00704AEB"/>
    <w:rsid w:val="00716DFA"/>
    <w:rsid w:val="00750B6E"/>
    <w:rsid w:val="00774DCF"/>
    <w:rsid w:val="007752A1"/>
    <w:rsid w:val="007B26A5"/>
    <w:rsid w:val="007B41E2"/>
    <w:rsid w:val="007B568B"/>
    <w:rsid w:val="007C172F"/>
    <w:rsid w:val="007C6F5F"/>
    <w:rsid w:val="007E6CF8"/>
    <w:rsid w:val="007F18F7"/>
    <w:rsid w:val="0082299F"/>
    <w:rsid w:val="00837072"/>
    <w:rsid w:val="00844916"/>
    <w:rsid w:val="0086182E"/>
    <w:rsid w:val="0087554B"/>
    <w:rsid w:val="00890214"/>
    <w:rsid w:val="008B3FEC"/>
    <w:rsid w:val="008C0CAA"/>
    <w:rsid w:val="008E2C1F"/>
    <w:rsid w:val="00907C66"/>
    <w:rsid w:val="00913C09"/>
    <w:rsid w:val="009155F3"/>
    <w:rsid w:val="00916EDC"/>
    <w:rsid w:val="00926385"/>
    <w:rsid w:val="00931BA9"/>
    <w:rsid w:val="0094180B"/>
    <w:rsid w:val="00972981"/>
    <w:rsid w:val="00977C25"/>
    <w:rsid w:val="009A13DB"/>
    <w:rsid w:val="009A2D99"/>
    <w:rsid w:val="009B21C3"/>
    <w:rsid w:val="00A075DA"/>
    <w:rsid w:val="00A44BDA"/>
    <w:rsid w:val="00A57CC4"/>
    <w:rsid w:val="00AB3441"/>
    <w:rsid w:val="00AC47D7"/>
    <w:rsid w:val="00AC4B8B"/>
    <w:rsid w:val="00AD0083"/>
    <w:rsid w:val="00AD422B"/>
    <w:rsid w:val="00AD43B8"/>
    <w:rsid w:val="00B05C88"/>
    <w:rsid w:val="00B312DA"/>
    <w:rsid w:val="00B93512"/>
    <w:rsid w:val="00BB4DB7"/>
    <w:rsid w:val="00BE4E1B"/>
    <w:rsid w:val="00C0277F"/>
    <w:rsid w:val="00C23B4D"/>
    <w:rsid w:val="00C3036D"/>
    <w:rsid w:val="00C31A41"/>
    <w:rsid w:val="00C37558"/>
    <w:rsid w:val="00C56B12"/>
    <w:rsid w:val="00C62FAF"/>
    <w:rsid w:val="00C73E02"/>
    <w:rsid w:val="00C740FA"/>
    <w:rsid w:val="00CA1B01"/>
    <w:rsid w:val="00CA50AD"/>
    <w:rsid w:val="00CC12E0"/>
    <w:rsid w:val="00CC29B1"/>
    <w:rsid w:val="00CE7AFB"/>
    <w:rsid w:val="00D112DB"/>
    <w:rsid w:val="00D4740B"/>
    <w:rsid w:val="00D64CC9"/>
    <w:rsid w:val="00D70B18"/>
    <w:rsid w:val="00D805C9"/>
    <w:rsid w:val="00D915AB"/>
    <w:rsid w:val="00D9192F"/>
    <w:rsid w:val="00DA4268"/>
    <w:rsid w:val="00DD1491"/>
    <w:rsid w:val="00DD625D"/>
    <w:rsid w:val="00DF3CC0"/>
    <w:rsid w:val="00DF794B"/>
    <w:rsid w:val="00E12A57"/>
    <w:rsid w:val="00E215D3"/>
    <w:rsid w:val="00E256A0"/>
    <w:rsid w:val="00E26FA4"/>
    <w:rsid w:val="00E365DB"/>
    <w:rsid w:val="00E41379"/>
    <w:rsid w:val="00E9102F"/>
    <w:rsid w:val="00EA0038"/>
    <w:rsid w:val="00EB250C"/>
    <w:rsid w:val="00EB7085"/>
    <w:rsid w:val="00EC4079"/>
    <w:rsid w:val="00F050D7"/>
    <w:rsid w:val="00F207AC"/>
    <w:rsid w:val="00F21F90"/>
    <w:rsid w:val="00F23F49"/>
    <w:rsid w:val="00F305AD"/>
    <w:rsid w:val="00F37C0C"/>
    <w:rsid w:val="00F45618"/>
    <w:rsid w:val="00F50A56"/>
    <w:rsid w:val="00F814D3"/>
    <w:rsid w:val="00FA6741"/>
    <w:rsid w:val="00FD5C67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B86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styleId="NormalnyWeb">
    <w:name w:val="Normal (Web)"/>
    <w:basedOn w:val="Normalny"/>
    <w:uiPriority w:val="99"/>
    <w:unhideWhenUsed/>
    <w:rsid w:val="001621FD"/>
    <w:rPr>
      <w:rFonts w:ascii="Times New Roman" w:hAnsi="Times New Roman" w:cs="Times New Roman"/>
      <w:sz w:val="24"/>
      <w:szCs w:val="24"/>
    </w:rPr>
  </w:style>
  <w:style w:type="paragraph" w:customStyle="1" w:styleId="LPpodstawowyinterlinia1">
    <w:name w:val="LP_podstawowy_interlinia1"/>
    <w:basedOn w:val="Normalny"/>
    <w:rsid w:val="002179BC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13" Type="http://schemas.openxmlformats.org/officeDocument/2006/relationships/hyperlink" Target="http://pesticides.fsc.org/strategy-database" TargetMode="External"/><Relationship Id="rId18" Type="http://schemas.openxmlformats.org/officeDocument/2006/relationships/hyperlink" Target="https://pl.wikipedia.org/wiki/Zatru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trucie" TargetMode="External"/><Relationship Id="rId17" Type="http://schemas.openxmlformats.org/officeDocument/2006/relationships/hyperlink" Target="https://pl.wikipedia.org/wiki/Toksyczno%C5%9B%C4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Substancja_chemicz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Toksyczno%C5%9B%C4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Zwi%C4%85zki_organiczne" TargetMode="External"/><Relationship Id="rId10" Type="http://schemas.openxmlformats.org/officeDocument/2006/relationships/hyperlink" Target="https://pl.wikipedia.org/wiki/Substancja_chemicz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Zwi%C4%85zki_organiczne" TargetMode="External"/><Relationship Id="rId14" Type="http://schemas.openxmlformats.org/officeDocument/2006/relationships/hyperlink" Target="https://pl.wikipedia.org/wiki/Zwi%C4%85zki_organ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0111-8A19-4858-A508-3FE695BD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3516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8</cp:revision>
  <cp:lastPrinted>2020-05-21T06:39:00Z</cp:lastPrinted>
  <dcterms:created xsi:type="dcterms:W3CDTF">2021-01-20T12:22:00Z</dcterms:created>
  <dcterms:modified xsi:type="dcterms:W3CDTF">2021-05-06T09:08:00Z</dcterms:modified>
</cp:coreProperties>
</file>