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6F5A" w14:textId="77777777" w:rsidR="00AD422B" w:rsidRPr="005D1758" w:rsidRDefault="00F207AC" w:rsidP="0031261D">
      <w:pPr>
        <w:jc w:val="center"/>
        <w:rPr>
          <w:b/>
          <w:bCs/>
          <w:sz w:val="56"/>
          <w:szCs w:val="56"/>
        </w:rPr>
      </w:pPr>
      <w:r w:rsidRPr="005D1758">
        <w:rPr>
          <w:b/>
          <w:bCs/>
          <w:sz w:val="56"/>
          <w:szCs w:val="56"/>
        </w:rPr>
        <w:t xml:space="preserve">Ocena ryzyka środowiskowego </w:t>
      </w:r>
      <w:r w:rsidR="00DF3CC0" w:rsidRPr="005D1758">
        <w:rPr>
          <w:b/>
          <w:bCs/>
          <w:sz w:val="56"/>
          <w:szCs w:val="56"/>
        </w:rPr>
        <w:br/>
      </w:r>
      <w:r w:rsidRPr="005D1758">
        <w:rPr>
          <w:b/>
          <w:bCs/>
          <w:sz w:val="56"/>
          <w:szCs w:val="56"/>
        </w:rPr>
        <w:t>i społecznego (ORŚIS)</w:t>
      </w:r>
    </w:p>
    <w:p w14:paraId="2AB9D286" w14:textId="77777777" w:rsidR="00041190" w:rsidRPr="00CF504A" w:rsidRDefault="00041190" w:rsidP="00041190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dla Mospilan 20 SP</w:t>
      </w:r>
      <w:r w:rsidRPr="00CF504A">
        <w:rPr>
          <w:b/>
          <w:bCs/>
          <w:color w:val="000000" w:themeColor="text1"/>
          <w:sz w:val="36"/>
          <w:szCs w:val="36"/>
        </w:rPr>
        <w:t xml:space="preserve"> </w:t>
      </w:r>
      <w:r w:rsidR="005C2C16">
        <w:rPr>
          <w:b/>
          <w:bCs/>
          <w:color w:val="000000" w:themeColor="text1"/>
          <w:sz w:val="36"/>
          <w:szCs w:val="36"/>
        </w:rPr>
        <w:br/>
        <w:t>(substancja czynna acetamipryd)</w:t>
      </w:r>
    </w:p>
    <w:p w14:paraId="35CE17DA" w14:textId="77777777" w:rsidR="00041190" w:rsidRDefault="00041190" w:rsidP="00041190">
      <w:pPr>
        <w:pStyle w:val="LPpodstawowyinterlinia1"/>
        <w:ind w:firstLine="0"/>
        <w:rPr>
          <w:b/>
          <w:bCs/>
          <w:sz w:val="28"/>
          <w:szCs w:val="28"/>
        </w:rPr>
      </w:pPr>
    </w:p>
    <w:p w14:paraId="3E75D060" w14:textId="77777777" w:rsidR="0031261D" w:rsidRDefault="00041190" w:rsidP="000411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(wersja 1.1 - marzec 2021)</w:t>
      </w:r>
    </w:p>
    <w:p w14:paraId="48C7C5F8" w14:textId="77777777" w:rsidR="00041190" w:rsidRPr="005D1758" w:rsidRDefault="00041190" w:rsidP="00041190">
      <w:pPr>
        <w:jc w:val="center"/>
        <w:rPr>
          <w:b/>
          <w:bCs/>
        </w:rPr>
      </w:pPr>
    </w:p>
    <w:p w14:paraId="3302A5CB" w14:textId="77777777" w:rsidR="00F207AC" w:rsidRPr="005D1758" w:rsidRDefault="001C01EB" w:rsidP="00BE4E1B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t>WSTĘP</w:t>
      </w:r>
    </w:p>
    <w:p w14:paraId="079F2967" w14:textId="77777777" w:rsidR="002F33F9" w:rsidRPr="00041190" w:rsidRDefault="00FA6741" w:rsidP="0031261D">
      <w:pPr>
        <w:jc w:val="both"/>
        <w:rPr>
          <w:rFonts w:cs="Arial"/>
          <w:color w:val="000000" w:themeColor="text1"/>
        </w:rPr>
      </w:pPr>
      <w:r w:rsidRPr="00041190">
        <w:rPr>
          <w:rFonts w:cs="Arial"/>
          <w:color w:val="000000" w:themeColor="text1"/>
        </w:rPr>
        <w:t>Lasy Państwowe jako</w:t>
      </w:r>
      <w:r w:rsidR="002F33F9" w:rsidRPr="00041190">
        <w:rPr>
          <w:rFonts w:cs="Arial"/>
          <w:color w:val="000000" w:themeColor="text1"/>
        </w:rPr>
        <w:t xml:space="preserve"> państwowa jednostka organizacyjna nieposiadająca osobowości prawnej, reprezentuj</w:t>
      </w:r>
      <w:r w:rsidRPr="00041190">
        <w:rPr>
          <w:rFonts w:cs="Arial"/>
          <w:color w:val="000000" w:themeColor="text1"/>
        </w:rPr>
        <w:t>ą</w:t>
      </w:r>
      <w:r w:rsidR="002F33F9" w:rsidRPr="00041190">
        <w:rPr>
          <w:rFonts w:cs="Arial"/>
          <w:color w:val="000000" w:themeColor="text1"/>
        </w:rPr>
        <w:t xml:space="preserve"> Skarb Państwa w zakresie zarządzanego mienia. Porządek prawny, który reguluje całokształt działań związanych z prowadzeniem trwałej i zrównoważonej gospodarki leśnej w Polsce określony jest w Ustawie o lasach z dnia 28 września 1991 roku (z późn. zm.), gdzie trwale połączono leśnictwo z ochroną przyrody i ochroną środowiska oraz określono zasady prowadzenia gospodarki leśnej w Polsce. </w:t>
      </w:r>
    </w:p>
    <w:p w14:paraId="000400EE" w14:textId="77777777" w:rsidR="002F33F9" w:rsidRPr="00041190" w:rsidRDefault="002F33F9" w:rsidP="0031261D">
      <w:pPr>
        <w:jc w:val="both"/>
        <w:rPr>
          <w:b/>
          <w:bCs/>
          <w:color w:val="000000" w:themeColor="text1"/>
        </w:rPr>
      </w:pPr>
      <w:r w:rsidRPr="00041190">
        <w:rPr>
          <w:rFonts w:cs="Arial"/>
          <w:color w:val="000000" w:themeColor="text1"/>
        </w:rPr>
        <w:t>Zgodnie z uregulowaniami ustawy o lasach, w celu zapewnienia powszechnej ochrony lasów, właściciele lasów są obowiązani do kształtowania równowagi w ekosystemach leśnych, podnoszenia naturalnej odporności drzewostanów, a w szczególności do zapobiegania, wykrywania i zwalczania nadmiernie pojawiających i rozprzestrzeniających się organizmów szkodliwych (art. 9 uol). Ustawa nakłada na nadleśniczego obowiązek wykonywania zabi</w:t>
      </w:r>
      <w:r w:rsidR="00AC6317" w:rsidRPr="00041190">
        <w:rPr>
          <w:rFonts w:cs="Arial"/>
          <w:color w:val="000000" w:themeColor="text1"/>
        </w:rPr>
        <w:t>egów zwalczających i ochronnych</w:t>
      </w:r>
      <w:r w:rsidRPr="00041190">
        <w:rPr>
          <w:rFonts w:cs="Arial"/>
          <w:color w:val="000000" w:themeColor="text1"/>
        </w:rPr>
        <w:t xml:space="preserve"> w razie wystąpienia organizmów szkodliwych, w stopniu zagrażającym trwałości lasów (art. 10 uol). Ustawa o lasach nakłada ponadto obowiązek trwałego utrzymywania lasów i zapewniania ciągłości ich użytkowania (art. 13 uol).</w:t>
      </w:r>
    </w:p>
    <w:p w14:paraId="34A459E4" w14:textId="77777777" w:rsidR="00F207AC" w:rsidRPr="00041190" w:rsidRDefault="00B312DA" w:rsidP="0031261D">
      <w:pPr>
        <w:jc w:val="both"/>
        <w:rPr>
          <w:b/>
          <w:bCs/>
          <w:color w:val="000000" w:themeColor="text1"/>
        </w:rPr>
      </w:pPr>
      <w:r w:rsidRPr="00041190">
        <w:rPr>
          <w:rFonts w:cs="Arial"/>
          <w:color w:val="000000" w:themeColor="text1"/>
        </w:rPr>
        <w:t xml:space="preserve">Leśnictwo </w:t>
      </w:r>
      <w:r w:rsidR="00C56B12" w:rsidRPr="00041190">
        <w:rPr>
          <w:rFonts w:cs="Arial"/>
          <w:color w:val="000000" w:themeColor="text1"/>
        </w:rPr>
        <w:t>jako gałąź gospodarki narodowej</w:t>
      </w:r>
      <w:r w:rsidRPr="00041190">
        <w:rPr>
          <w:rFonts w:cs="Arial"/>
          <w:color w:val="000000" w:themeColor="text1"/>
        </w:rPr>
        <w:t>, z uwagi na uwarunkowania klimatyczne, ekologiczne</w:t>
      </w:r>
      <w:r w:rsidR="00AC6317" w:rsidRPr="00041190">
        <w:rPr>
          <w:rFonts w:cs="Arial"/>
          <w:color w:val="000000" w:themeColor="text1"/>
        </w:rPr>
        <w:t xml:space="preserve"> i drzewostanowe, zmuszone jest</w:t>
      </w:r>
      <w:r w:rsidRPr="00041190">
        <w:rPr>
          <w:rFonts w:cs="Arial"/>
          <w:color w:val="000000" w:themeColor="text1"/>
        </w:rPr>
        <w:t xml:space="preserve"> posiłkować się środkami ochrony roślin. Środki te używane są wyłącznie w uzasadnionych sytuacjach, zawsze z poszanowaniem obowiązujących przepisów</w:t>
      </w:r>
      <w:r w:rsidR="00F305AD" w:rsidRPr="00041190">
        <w:rPr>
          <w:rFonts w:cs="Arial"/>
          <w:color w:val="000000" w:themeColor="text1"/>
        </w:rPr>
        <w:t>,</w:t>
      </w:r>
      <w:r w:rsidRPr="00041190">
        <w:rPr>
          <w:rFonts w:cs="Arial"/>
          <w:color w:val="000000" w:themeColor="text1"/>
        </w:rPr>
        <w:t xml:space="preserve"> </w:t>
      </w:r>
      <w:r w:rsidR="00F305AD" w:rsidRPr="00041190">
        <w:rPr>
          <w:rFonts w:cs="Arial"/>
          <w:color w:val="000000" w:themeColor="text1"/>
        </w:rPr>
        <w:t>w ograniczonym zakresie</w:t>
      </w:r>
      <w:r w:rsidRPr="00041190">
        <w:rPr>
          <w:rFonts w:cs="Arial"/>
          <w:color w:val="000000" w:themeColor="text1"/>
        </w:rPr>
        <w:t xml:space="preserve"> i w </w:t>
      </w:r>
      <w:r w:rsidR="00F305AD" w:rsidRPr="00041190">
        <w:rPr>
          <w:rFonts w:cs="Arial"/>
          <w:color w:val="000000" w:themeColor="text1"/>
        </w:rPr>
        <w:t xml:space="preserve">usprawiedliwionych </w:t>
      </w:r>
      <w:r w:rsidRPr="00041190">
        <w:rPr>
          <w:rFonts w:cs="Arial"/>
          <w:color w:val="000000" w:themeColor="text1"/>
        </w:rPr>
        <w:t>okolicznościach</w:t>
      </w:r>
      <w:r w:rsidR="00F305AD" w:rsidRPr="00041190">
        <w:rPr>
          <w:rFonts w:cs="Arial"/>
          <w:color w:val="000000" w:themeColor="text1"/>
        </w:rPr>
        <w:t>.</w:t>
      </w:r>
      <w:r w:rsidRPr="00041190">
        <w:rPr>
          <w:rFonts w:cs="Arial"/>
          <w:color w:val="000000" w:themeColor="text1"/>
        </w:rPr>
        <w:t xml:space="preserve"> </w:t>
      </w:r>
    </w:p>
    <w:p w14:paraId="201958D9" w14:textId="77777777" w:rsidR="00041190" w:rsidRPr="00041190" w:rsidRDefault="00B312DA" w:rsidP="00041190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 w:themeColor="text1"/>
        </w:rPr>
      </w:pPr>
      <w:r w:rsidRPr="00041190">
        <w:rPr>
          <w:rFonts w:cs="Arial"/>
          <w:color w:val="000000" w:themeColor="text1"/>
        </w:rPr>
        <w:t>Stosowane obecnie w leśnictwie środki ochrony roślin dopuszczone prawem krajowym oraz przepisami Unii Europej</w:t>
      </w:r>
      <w:r w:rsidR="0053535C" w:rsidRPr="00041190">
        <w:rPr>
          <w:rFonts w:cs="Arial"/>
          <w:color w:val="000000" w:themeColor="text1"/>
        </w:rPr>
        <w:t>skiej, zawarte są w sporządzanym</w:t>
      </w:r>
      <w:r w:rsidRPr="00041190">
        <w:rPr>
          <w:rFonts w:cs="Arial"/>
          <w:color w:val="000000" w:themeColor="text1"/>
        </w:rPr>
        <w:t xml:space="preserve"> co roku przez Instytut Badawczy Leśnictwa </w:t>
      </w:r>
      <w:r w:rsidR="0053535C" w:rsidRPr="00041190">
        <w:rPr>
          <w:rFonts w:cs="Arial"/>
          <w:color w:val="000000" w:themeColor="text1"/>
        </w:rPr>
        <w:t>opracowaniu (</w:t>
      </w:r>
      <w:r w:rsidRPr="00041190">
        <w:rPr>
          <w:rFonts w:cs="Arial"/>
          <w:color w:val="000000" w:themeColor="text1"/>
        </w:rPr>
        <w:t>broszurze</w:t>
      </w:r>
      <w:r w:rsidR="0053535C" w:rsidRPr="00041190">
        <w:rPr>
          <w:rFonts w:cs="Arial"/>
          <w:color w:val="000000" w:themeColor="text1"/>
        </w:rPr>
        <w:t>)</w:t>
      </w:r>
      <w:r w:rsidRPr="00041190">
        <w:rPr>
          <w:rFonts w:cs="Arial"/>
          <w:color w:val="000000" w:themeColor="text1"/>
        </w:rPr>
        <w:t xml:space="preserve"> „</w:t>
      </w:r>
      <w:r w:rsidR="00C56B12" w:rsidRPr="00041190">
        <w:rPr>
          <w:rFonts w:cs="Arial"/>
          <w:color w:val="000000" w:themeColor="text1"/>
        </w:rPr>
        <w:t>Środki ochrony roślin oraz środki biobójcze do stosowania w leśnictwie</w:t>
      </w:r>
      <w:r w:rsidRPr="00041190">
        <w:rPr>
          <w:rFonts w:cs="Arial"/>
          <w:color w:val="000000" w:themeColor="text1"/>
        </w:rPr>
        <w:t>” i obejmującej środki zarejestrowane dla leśnictwa przez Ministra Rolnictwa i Rozwoju Wsi.</w:t>
      </w:r>
      <w:r w:rsidR="00041190" w:rsidRPr="00041190">
        <w:rPr>
          <w:rFonts w:cs="Arial"/>
          <w:color w:val="000000" w:themeColor="text1"/>
        </w:rPr>
        <w:t xml:space="preserve"> Opracowanie to jest na bieżąco aktualizowane i udostępniane:</w:t>
      </w:r>
    </w:p>
    <w:p w14:paraId="0772360B" w14:textId="77777777" w:rsidR="00B312DA" w:rsidRDefault="0090298F" w:rsidP="00041190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 w:themeColor="accent6" w:themeShade="80"/>
        </w:rPr>
      </w:pPr>
      <w:hyperlink r:id="rId8" w:history="1">
        <w:r w:rsidR="00041190" w:rsidRPr="00993C2E">
          <w:rPr>
            <w:rStyle w:val="Hipercze"/>
            <w:rFonts w:cs="Arial"/>
          </w:rPr>
          <w:t>http://www.lasy.gov.pl/pl/pro/publikacje/copy_of_gospodarka-lesna/ochrona_lasu/srodki-ochrony-roslin/</w:t>
        </w:r>
      </w:hyperlink>
      <w:r w:rsidR="00041190">
        <w:rPr>
          <w:rFonts w:cs="Arial"/>
          <w:color w:val="385623" w:themeColor="accent6" w:themeShade="80"/>
        </w:rPr>
        <w:t xml:space="preserve"> </w:t>
      </w:r>
    </w:p>
    <w:p w14:paraId="438FFE7A" w14:textId="77777777" w:rsidR="00041190" w:rsidRDefault="00041190" w:rsidP="00041190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 w:themeColor="accent6" w:themeShade="80"/>
        </w:rPr>
      </w:pPr>
    </w:p>
    <w:p w14:paraId="0622728A" w14:textId="77777777" w:rsidR="00041190" w:rsidRDefault="00041190" w:rsidP="00041190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 w:themeColor="accent6" w:themeShade="80"/>
        </w:rPr>
      </w:pPr>
    </w:p>
    <w:p w14:paraId="7290DC9D" w14:textId="77777777" w:rsidR="00041190" w:rsidRDefault="00041190" w:rsidP="00041190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 w:themeColor="accent6" w:themeShade="80"/>
        </w:rPr>
      </w:pPr>
    </w:p>
    <w:p w14:paraId="3A6C73FD" w14:textId="77777777" w:rsidR="00E26FA4" w:rsidRPr="00962C48" w:rsidRDefault="00E26FA4" w:rsidP="007813F6">
      <w:pPr>
        <w:pStyle w:val="Akapitzlist"/>
        <w:numPr>
          <w:ilvl w:val="0"/>
          <w:numId w:val="4"/>
        </w:numPr>
        <w:jc w:val="both"/>
        <w:rPr>
          <w:b/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lastRenderedPageBreak/>
        <w:t xml:space="preserve">Zakres </w:t>
      </w:r>
    </w:p>
    <w:p w14:paraId="6DAA7B9C" w14:textId="77777777" w:rsidR="00E26FA4" w:rsidRPr="00962C48" w:rsidRDefault="005D1758" w:rsidP="007813F6">
      <w:pPr>
        <w:jc w:val="both"/>
        <w:rPr>
          <w:b/>
          <w:color w:val="2F5496" w:themeColor="accent5" w:themeShade="BF"/>
        </w:rPr>
      </w:pPr>
      <w:r w:rsidRPr="00962C48">
        <w:rPr>
          <w:b/>
          <w:color w:val="2F5496" w:themeColor="accent5" w:themeShade="BF"/>
        </w:rPr>
        <w:t>Kraj</w:t>
      </w:r>
      <w:r w:rsidR="00E26FA4" w:rsidRPr="00962C48">
        <w:rPr>
          <w:b/>
          <w:color w:val="2F5496" w:themeColor="accent5" w:themeShade="BF"/>
        </w:rPr>
        <w:t xml:space="preserve">: </w:t>
      </w:r>
      <w:r w:rsidR="00E26FA4" w:rsidRPr="00962C48">
        <w:rPr>
          <w:color w:val="2F5496" w:themeColor="accent5" w:themeShade="BF"/>
        </w:rPr>
        <w:t>Polska</w:t>
      </w:r>
    </w:p>
    <w:p w14:paraId="4055138C" w14:textId="77777777" w:rsidR="00E26FA4" w:rsidRPr="00962C48" w:rsidRDefault="00E26FA4" w:rsidP="007813F6">
      <w:pPr>
        <w:jc w:val="both"/>
        <w:rPr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t xml:space="preserve">Substancja aktywna: </w:t>
      </w:r>
      <w:r w:rsidR="0069511A" w:rsidRPr="0069511A">
        <w:rPr>
          <w:b/>
          <w:bCs/>
          <w:color w:val="2F5496" w:themeColor="accent5" w:themeShade="BF"/>
        </w:rPr>
        <w:t>acetamipryd – związek z grupy pochodnych neonikotynoidów</w:t>
      </w:r>
    </w:p>
    <w:p w14:paraId="1ADBAFB6" w14:textId="77777777" w:rsidR="0069511A" w:rsidRDefault="00CA50AD" w:rsidP="007813F6">
      <w:pPr>
        <w:spacing w:after="0" w:line="276" w:lineRule="auto"/>
        <w:jc w:val="both"/>
        <w:rPr>
          <w:b/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t>Cel</w:t>
      </w:r>
      <w:r w:rsidR="00C56B12" w:rsidRPr="00962C48">
        <w:rPr>
          <w:b/>
          <w:bCs/>
          <w:color w:val="2F5496" w:themeColor="accent5" w:themeShade="BF"/>
        </w:rPr>
        <w:t xml:space="preserve">e zastosowania </w:t>
      </w:r>
      <w:r w:rsidR="0069511A" w:rsidRPr="0069511A">
        <w:rPr>
          <w:b/>
          <w:bCs/>
          <w:color w:val="2F5496" w:themeColor="accent5" w:themeShade="BF"/>
        </w:rPr>
        <w:t xml:space="preserve">środka ochrony roślin o nazwie handlowej Mospilan 20 </w:t>
      </w:r>
      <w:r w:rsidR="0069511A">
        <w:rPr>
          <w:b/>
          <w:bCs/>
          <w:color w:val="2F5496" w:themeColor="accent5" w:themeShade="BF"/>
        </w:rPr>
        <w:t>SP</w:t>
      </w:r>
      <w:r w:rsidR="00C56B12" w:rsidRPr="00962C48">
        <w:rPr>
          <w:b/>
          <w:bCs/>
          <w:color w:val="2F5496" w:themeColor="accent5" w:themeShade="BF"/>
        </w:rPr>
        <w:t xml:space="preserve">: </w:t>
      </w:r>
    </w:p>
    <w:p w14:paraId="78F0A863" w14:textId="77777777" w:rsidR="0069511A" w:rsidRDefault="0069511A" w:rsidP="007813F6">
      <w:pPr>
        <w:spacing w:after="0" w:line="276" w:lineRule="auto"/>
        <w:jc w:val="both"/>
        <w:rPr>
          <w:bCs/>
          <w:color w:val="2F5496" w:themeColor="accent5" w:themeShade="BF"/>
        </w:rPr>
      </w:pPr>
      <w:r w:rsidRPr="0069511A">
        <w:rPr>
          <w:bCs/>
          <w:color w:val="2F5496" w:themeColor="accent5" w:themeShade="BF"/>
        </w:rPr>
        <w:t xml:space="preserve">Ograniczenie </w:t>
      </w:r>
      <w:r w:rsidRPr="00272DD3">
        <w:rPr>
          <w:bCs/>
          <w:color w:val="2F5496" w:themeColor="accent5" w:themeShade="BF"/>
        </w:rPr>
        <w:t xml:space="preserve">nadmiernej </w:t>
      </w:r>
      <w:r w:rsidR="0053535C" w:rsidRPr="00272DD3">
        <w:rPr>
          <w:bCs/>
          <w:color w:val="2F5496" w:themeColor="accent5" w:themeShade="BF"/>
        </w:rPr>
        <w:t>(zagrażającej trwałości lasu)</w:t>
      </w:r>
      <w:r w:rsidR="0053535C">
        <w:rPr>
          <w:bCs/>
          <w:color w:val="2F5496" w:themeColor="accent5" w:themeShade="BF"/>
        </w:rPr>
        <w:t xml:space="preserve"> </w:t>
      </w:r>
      <w:r w:rsidRPr="0069511A">
        <w:rPr>
          <w:bCs/>
          <w:color w:val="2F5496" w:themeColor="accent5" w:themeShade="BF"/>
        </w:rPr>
        <w:t>liczebności populacji chrabąszcza majowego (Melolontha melolontha L.) i chrabąszcza kasztanowca (Melolontha hippocastani F.). Zabiegi ograniczające wobec imagines (owadów doskonałych) chrabąszczy w celu istotnego  rozrzedzenia liczebności przyszłych pędraków, a tym samym zmniejszenia wielkości powierzchni zagrożonej i szkód, będą ob</w:t>
      </w:r>
      <w:r>
        <w:rPr>
          <w:bCs/>
          <w:color w:val="2F5496" w:themeColor="accent5" w:themeShade="BF"/>
        </w:rPr>
        <w:t xml:space="preserve">ejmowały drzewostany liściaste </w:t>
      </w:r>
      <w:r w:rsidRPr="0069511A">
        <w:rPr>
          <w:bCs/>
          <w:color w:val="2F5496" w:themeColor="accent5" w:themeShade="BF"/>
        </w:rPr>
        <w:t>i mieszane.</w:t>
      </w:r>
    </w:p>
    <w:p w14:paraId="4378E4E9" w14:textId="77777777" w:rsidR="00041190" w:rsidRPr="0069511A" w:rsidRDefault="00041190" w:rsidP="007813F6">
      <w:pPr>
        <w:spacing w:after="0" w:line="276" w:lineRule="auto"/>
        <w:jc w:val="both"/>
        <w:rPr>
          <w:bCs/>
          <w:color w:val="2F5496" w:themeColor="accent5" w:themeShade="BF"/>
        </w:rPr>
      </w:pPr>
    </w:p>
    <w:p w14:paraId="3EAECB32" w14:textId="77777777" w:rsidR="00AD146C" w:rsidRDefault="00AD146C" w:rsidP="00AD146C">
      <w:pPr>
        <w:rPr>
          <w:b/>
          <w:bCs/>
        </w:rPr>
      </w:pPr>
      <w:r>
        <w:rPr>
          <w:b/>
          <w:bCs/>
        </w:rPr>
        <w:t xml:space="preserve">Jednostka wykonująca </w:t>
      </w:r>
      <w:r>
        <w:rPr>
          <w:rStyle w:val="Pogrubienie"/>
        </w:rPr>
        <w:t>ORŚIS (posiadacz certyfikatu):</w:t>
      </w:r>
      <w:r>
        <w:rPr>
          <w:b/>
          <w:bCs/>
        </w:rPr>
        <w:t xml:space="preserve"> </w:t>
      </w:r>
    </w:p>
    <w:p w14:paraId="64A676C4" w14:textId="6E7E777C" w:rsidR="00AD146C" w:rsidRDefault="00AD146C" w:rsidP="00AD146C">
      <w:pPr>
        <w:rPr>
          <w:b/>
          <w:bCs/>
        </w:rPr>
      </w:pPr>
      <w:r>
        <w:rPr>
          <w:bCs/>
        </w:rPr>
        <w:t>Regionalna Dyrekcja Lasów Państwowych w Zielonej Górze (nr certyfikatu SGS-FM/COC-009010)</w:t>
      </w:r>
    </w:p>
    <w:p w14:paraId="61271970" w14:textId="77777777" w:rsidR="00AD146C" w:rsidRDefault="00AD146C" w:rsidP="00AD146C">
      <w:pPr>
        <w:rPr>
          <w:b/>
          <w:bCs/>
        </w:rPr>
      </w:pPr>
      <w:r>
        <w:rPr>
          <w:b/>
          <w:bCs/>
        </w:rPr>
        <w:t xml:space="preserve">Jednostka gospodarowania (nadleśnictwo) dla którego wykonany jest ORŚIS: </w:t>
      </w:r>
      <w:r>
        <w:rPr>
          <w:bCs/>
        </w:rPr>
        <w:t xml:space="preserve">Nadleśnictwo </w:t>
      </w:r>
    </w:p>
    <w:p w14:paraId="3407CE88" w14:textId="77777777" w:rsidR="00AD146C" w:rsidRDefault="00AD146C" w:rsidP="00AD146C">
      <w:pPr>
        <w:jc w:val="both"/>
        <w:rPr>
          <w:bCs/>
        </w:rPr>
      </w:pPr>
      <w:r>
        <w:rPr>
          <w:bCs/>
        </w:rPr>
        <w:t>Cybinka, Brzózka, Gubin, Krosno, Krzystkowice, Lipinki, Lubsko, Nowa Sól, Sława Śląska, Wolsztyn, Świebodzin, Szprotawa, Torzym, Wolsztyn, Wymiarki, Zielona Góra, Babimost, Przytok, Żagań, Bytnica.</w:t>
      </w:r>
    </w:p>
    <w:p w14:paraId="4DA6C694" w14:textId="77777777" w:rsidR="00AC4B8B" w:rsidRPr="005D1758" w:rsidRDefault="00606A36" w:rsidP="007813F6">
      <w:pPr>
        <w:jc w:val="both"/>
        <w:rPr>
          <w:b/>
          <w:bCs/>
        </w:rPr>
      </w:pPr>
      <w:r w:rsidRPr="005D1758">
        <w:rPr>
          <w:b/>
          <w:bCs/>
        </w:rPr>
        <w:t>Ocena ryzyka środowiskowego i społecznego (ORŚIS) podzielona została na trzy części zgodnie z FSC-POL-30-001 V3-0</w:t>
      </w:r>
    </w:p>
    <w:p w14:paraId="121D0438" w14:textId="77777777" w:rsidR="00606A36" w:rsidRPr="005D1758" w:rsidRDefault="00606A36" w:rsidP="007813F6">
      <w:pPr>
        <w:jc w:val="both"/>
        <w:rPr>
          <w:rFonts w:cs="Arial"/>
        </w:rPr>
      </w:pPr>
    </w:p>
    <w:p w14:paraId="7E3793C2" w14:textId="77777777" w:rsidR="0086182E" w:rsidRPr="005D1758" w:rsidRDefault="0086182E" w:rsidP="007813F6">
      <w:pPr>
        <w:pStyle w:val="Default"/>
        <w:jc w:val="both"/>
        <w:rPr>
          <w:rFonts w:asciiTheme="minorHAnsi" w:eastAsia="Calibri" w:hAnsiTheme="minorHAnsi"/>
          <w:b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Cześć I</w:t>
      </w:r>
    </w:p>
    <w:p w14:paraId="352C7B41" w14:textId="77777777" w:rsidR="0086182E" w:rsidRPr="005D1758" w:rsidRDefault="0086182E" w:rsidP="007813F6">
      <w:pPr>
        <w:pStyle w:val="Default"/>
        <w:jc w:val="both"/>
        <w:rPr>
          <w:rFonts w:asciiTheme="minorHAnsi" w:eastAsia="Calibri" w:hAnsiTheme="minorHAnsi"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Ramy ORŚIS: rola Organizacji </w:t>
      </w:r>
      <w:r w:rsidR="00F37C0C" w:rsidRPr="005D1758">
        <w:rPr>
          <w:rFonts w:asciiTheme="minorHAnsi" w:eastAsia="Calibri" w:hAnsiTheme="minorHAnsi"/>
          <w:color w:val="000000" w:themeColor="text1"/>
          <w:sz w:val="22"/>
        </w:rPr>
        <w:t xml:space="preserve">- </w:t>
      </w: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pkt. 4.12 </w:t>
      </w:r>
      <w:r w:rsidR="00F37C0C" w:rsidRPr="005D1758">
        <w:rPr>
          <w:rFonts w:asciiTheme="minorHAnsi" w:eastAsia="Calibri" w:hAnsiTheme="minorHAnsi"/>
          <w:color w:val="000000" w:themeColor="text1"/>
          <w:sz w:val="22"/>
        </w:rPr>
        <w:t xml:space="preserve">str. 21 </w:t>
      </w: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polityki </w:t>
      </w:r>
      <w:r w:rsidRPr="005D1758">
        <w:rPr>
          <w:rFonts w:asciiTheme="minorHAnsi" w:eastAsia="Calibri" w:hAnsiTheme="minorHAnsi"/>
          <w:bCs/>
          <w:color w:val="000000" w:themeColor="text1"/>
          <w:sz w:val="22"/>
        </w:rPr>
        <w:t xml:space="preserve">pestycydowej FSC </w:t>
      </w:r>
    </w:p>
    <w:p w14:paraId="0681372C" w14:textId="77777777" w:rsidR="00F37C0C" w:rsidRPr="005D1758" w:rsidRDefault="00F37C0C" w:rsidP="007813F6">
      <w:pPr>
        <w:pStyle w:val="Default"/>
        <w:jc w:val="both"/>
        <w:rPr>
          <w:rFonts w:asciiTheme="minorHAnsi" w:eastAsia="Calibri" w:hAnsiTheme="minorHAnsi"/>
          <w:bCs/>
          <w:color w:val="000000" w:themeColor="text1"/>
          <w:sz w:val="22"/>
        </w:rPr>
      </w:pPr>
    </w:p>
    <w:p w14:paraId="262E3C32" w14:textId="77777777" w:rsidR="00F37C0C" w:rsidRPr="005D1758" w:rsidRDefault="00F37C0C" w:rsidP="007813F6">
      <w:pPr>
        <w:pStyle w:val="Default"/>
        <w:jc w:val="both"/>
        <w:rPr>
          <w:rFonts w:asciiTheme="minorHAnsi" w:eastAsia="Calibri" w:hAnsiTheme="minorHAnsi"/>
          <w:b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Część II</w:t>
      </w:r>
    </w:p>
    <w:p w14:paraId="56C82041" w14:textId="77777777" w:rsidR="00F37C0C" w:rsidRPr="005D1758" w:rsidRDefault="00F37C0C" w:rsidP="007813F6">
      <w:pPr>
        <w:pStyle w:val="Default"/>
        <w:jc w:val="both"/>
        <w:rPr>
          <w:rFonts w:asciiTheme="minorHAnsi" w:eastAsia="Calibri" w:hAnsiTheme="minorHAnsi"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Załącznik 2. Minimalny wykaz zagrożeń, elementów i zmiennych, które należy uwzględnić w ocenie ryzyka środowiskowego i społecznego – na podstawie pkt 4.12.3 str. 39 polityki </w:t>
      </w:r>
      <w:r w:rsidRPr="005D1758">
        <w:rPr>
          <w:rFonts w:asciiTheme="minorHAnsi" w:eastAsia="Calibri" w:hAnsiTheme="minorHAnsi"/>
          <w:bCs/>
          <w:color w:val="000000" w:themeColor="text1"/>
          <w:sz w:val="22"/>
        </w:rPr>
        <w:t xml:space="preserve">pestycydowej FSC </w:t>
      </w:r>
    </w:p>
    <w:p w14:paraId="568A5280" w14:textId="77777777" w:rsidR="00F37C0C" w:rsidRPr="005D1758" w:rsidRDefault="00F37C0C" w:rsidP="007813F6">
      <w:pPr>
        <w:pStyle w:val="Default"/>
        <w:jc w:val="both"/>
        <w:rPr>
          <w:rFonts w:asciiTheme="minorHAnsi" w:eastAsia="Calibri" w:hAnsiTheme="minorHAnsi"/>
          <w:bCs/>
          <w:color w:val="000000" w:themeColor="text1"/>
          <w:sz w:val="22"/>
        </w:rPr>
      </w:pPr>
    </w:p>
    <w:p w14:paraId="138BE021" w14:textId="77777777" w:rsidR="00F37C0C" w:rsidRPr="005D1758" w:rsidRDefault="00F37C0C" w:rsidP="007813F6">
      <w:pPr>
        <w:pStyle w:val="Default"/>
        <w:jc w:val="both"/>
        <w:rPr>
          <w:rFonts w:asciiTheme="minorHAnsi" w:eastAsia="Calibri" w:hAnsiTheme="minorHAnsi"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Część III</w:t>
      </w:r>
    </w:p>
    <w:p w14:paraId="78220D7A" w14:textId="77777777" w:rsidR="00F37C0C" w:rsidRPr="005D1758" w:rsidRDefault="0086182E" w:rsidP="007813F6">
      <w:pPr>
        <w:jc w:val="both"/>
        <w:rPr>
          <w:rFonts w:eastAsia="Calibri" w:cs="Arial"/>
          <w:color w:val="000000" w:themeColor="text1"/>
          <w:szCs w:val="24"/>
        </w:rPr>
      </w:pPr>
      <w:r w:rsidRPr="005D1758">
        <w:rPr>
          <w:rFonts w:eastAsia="Calibri" w:cs="Arial"/>
          <w:color w:val="000000" w:themeColor="text1"/>
          <w:szCs w:val="24"/>
        </w:rPr>
        <w:t>Ramy oceny ryzyka środowiskowego i społecznego (ORŚIS)</w:t>
      </w:r>
      <w:r w:rsidR="00F37C0C" w:rsidRPr="005D1758">
        <w:rPr>
          <w:rFonts w:eastAsia="Calibri" w:cs="Arial"/>
          <w:color w:val="000000" w:themeColor="text1"/>
          <w:szCs w:val="24"/>
        </w:rPr>
        <w:t xml:space="preserve"> - Tabela 2. (część dla posiadacza certyfikatu, jednostki gospodarowania) – szablon str. 26 polityki pestycydowej FSC</w:t>
      </w:r>
    </w:p>
    <w:p w14:paraId="4D6C0A10" w14:textId="77777777" w:rsidR="007B568B" w:rsidRPr="005D1758" w:rsidRDefault="00C23B4D" w:rsidP="007813F6">
      <w:pPr>
        <w:jc w:val="both"/>
        <w:rPr>
          <w:b/>
          <w:bCs/>
        </w:rPr>
      </w:pPr>
      <w:r>
        <w:rPr>
          <w:b/>
          <w:bCs/>
        </w:rPr>
        <w:t>Tej części nie wypełnia się. Należy postępować zgodnie z zawartymi tam zapisami.</w:t>
      </w:r>
    </w:p>
    <w:p w14:paraId="44CAF4AF" w14:textId="77777777" w:rsidR="00F305AD" w:rsidRPr="005D1758" w:rsidRDefault="00606A36" w:rsidP="007813F6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Opracowanie techniczne</w:t>
      </w:r>
      <w:r w:rsidR="00F305AD" w:rsidRPr="005D1758">
        <w:rPr>
          <w:rFonts w:asciiTheme="minorHAnsi" w:hAnsiTheme="minorHAnsi"/>
          <w:b/>
          <w:sz w:val="22"/>
          <w:szCs w:val="22"/>
        </w:rPr>
        <w:t>.</w:t>
      </w:r>
    </w:p>
    <w:p w14:paraId="3919B47E" w14:textId="77777777" w:rsidR="00041190" w:rsidRDefault="00F305AD" w:rsidP="007813F6">
      <w:pPr>
        <w:pStyle w:val="Default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UWAGA! O</w:t>
      </w:r>
      <w:r w:rsidR="00C37558" w:rsidRPr="005D1758">
        <w:rPr>
          <w:rFonts w:asciiTheme="minorHAnsi" w:hAnsiTheme="minorHAnsi"/>
          <w:b/>
          <w:sz w:val="22"/>
          <w:szCs w:val="22"/>
        </w:rPr>
        <w:t xml:space="preserve">cena ryzyka </w:t>
      </w:r>
      <w:r w:rsidR="002E07FF" w:rsidRPr="005D1758">
        <w:rPr>
          <w:rFonts w:asciiTheme="minorHAnsi" w:hAnsiTheme="minorHAnsi"/>
          <w:b/>
          <w:sz w:val="22"/>
          <w:szCs w:val="22"/>
        </w:rPr>
        <w:t>jest</w:t>
      </w:r>
      <w:r w:rsidR="00C37558" w:rsidRPr="005D1758">
        <w:rPr>
          <w:rFonts w:asciiTheme="minorHAnsi" w:hAnsiTheme="minorHAnsi"/>
          <w:b/>
          <w:sz w:val="22"/>
          <w:szCs w:val="22"/>
        </w:rPr>
        <w:t xml:space="preserve"> funkcją toksyczności (która jest stałą globalną) i lokalnej ekspozycji na działanie pestycydu.</w:t>
      </w:r>
    </w:p>
    <w:p w14:paraId="2A2E143A" w14:textId="77777777" w:rsidR="00041190" w:rsidRDefault="00041190">
      <w:pPr>
        <w:rPr>
          <w:rFonts w:cs="Arial"/>
          <w:b/>
          <w:color w:val="000000"/>
        </w:rPr>
      </w:pPr>
      <w:r>
        <w:rPr>
          <w:b/>
        </w:rPr>
        <w:br w:type="page"/>
      </w:r>
    </w:p>
    <w:p w14:paraId="44CAAF5D" w14:textId="77777777" w:rsidR="00BE4E1B" w:rsidRPr="005D1758" w:rsidRDefault="00BE4E1B" w:rsidP="007813F6">
      <w:pPr>
        <w:pStyle w:val="Default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14:paraId="2EB668C4" w14:textId="77777777" w:rsidR="00BE4E1B" w:rsidRPr="005D1758" w:rsidRDefault="00BE4E1B" w:rsidP="007813F6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14:paraId="26DDE2D9" w14:textId="77777777" w:rsidR="007B568B" w:rsidRPr="005D1758" w:rsidRDefault="00F37C0C" w:rsidP="007813F6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Część I</w:t>
      </w:r>
    </w:p>
    <w:p w14:paraId="295468CA" w14:textId="77777777" w:rsidR="00F37C0C" w:rsidRPr="005D1758" w:rsidRDefault="00F37C0C" w:rsidP="007813F6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644CB93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Ramy ORŚIS: rola Organizacji </w:t>
      </w:r>
    </w:p>
    <w:p w14:paraId="3842971A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</w:rPr>
      </w:pPr>
    </w:p>
    <w:p w14:paraId="6DAB8BF8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4.12 Organizacja ma obowiązek: </w:t>
      </w:r>
    </w:p>
    <w:p w14:paraId="6925ACE4" w14:textId="77777777" w:rsidR="007B568B" w:rsidRPr="00962C48" w:rsidRDefault="007B568B" w:rsidP="007813F6">
      <w:pPr>
        <w:pStyle w:val="Default"/>
        <w:spacing w:after="14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65669426" w14:textId="77777777" w:rsidR="007B568B" w:rsidRPr="00962C48" w:rsidRDefault="007B568B" w:rsidP="007813F6">
      <w:pPr>
        <w:pStyle w:val="Default"/>
        <w:spacing w:after="14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1. Co do zasady traktować w sposób preferencyjny: </w:t>
      </w:r>
    </w:p>
    <w:p w14:paraId="2B4E502B" w14:textId="77777777" w:rsidR="007B568B" w:rsidRPr="00962C48" w:rsidRDefault="007B568B" w:rsidP="007813F6">
      <w:pPr>
        <w:pStyle w:val="Default"/>
        <w:spacing w:after="14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1. metody niechemiczne w stosunku do pestycydów syntetycznych, </w:t>
      </w:r>
    </w:p>
    <w:p w14:paraId="76665DB4" w14:textId="77777777" w:rsidR="00154505" w:rsidRDefault="007B568B" w:rsidP="007813F6">
      <w:pPr>
        <w:pStyle w:val="Default"/>
        <w:spacing w:after="14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2. pestycydy syntetyczne niewymienione w wykazach FSC WNP w stosunku do pestycydów wymienionych w wykazach FSC WNP, </w:t>
      </w:r>
    </w:p>
    <w:p w14:paraId="5025CBA9" w14:textId="77777777" w:rsidR="007B568B" w:rsidRPr="00962C48" w:rsidRDefault="007B568B" w:rsidP="007813F6">
      <w:pPr>
        <w:pStyle w:val="Default"/>
        <w:spacing w:after="14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oraz </w:t>
      </w:r>
    </w:p>
    <w:p w14:paraId="5502E33E" w14:textId="77777777" w:rsidR="007B568B" w:rsidRPr="00962C48" w:rsidRDefault="007B568B" w:rsidP="007813F6">
      <w:pPr>
        <w:pStyle w:val="Default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3. WNP objęte ograniczeniami przez FSC w stosunku do WNP objętych ścisłymi ograniczeniami przez FSC. </w:t>
      </w:r>
    </w:p>
    <w:p w14:paraId="6AD49AFC" w14:textId="77777777" w:rsidR="00DF794B" w:rsidRPr="00962C48" w:rsidRDefault="00DF794B" w:rsidP="007813F6">
      <w:pPr>
        <w:pStyle w:val="Default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794AB11A" w14:textId="77777777" w:rsidR="00DF794B" w:rsidRPr="00962C48" w:rsidRDefault="00DF794B" w:rsidP="007813F6">
      <w:pPr>
        <w:pStyle w:val="Default"/>
        <w:spacing w:after="14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INTEGROWANA OCHRONA LASU</w:t>
      </w:r>
    </w:p>
    <w:p w14:paraId="41792084" w14:textId="77777777" w:rsidR="00DF794B" w:rsidRPr="00962C48" w:rsidRDefault="00DF794B" w:rsidP="007813F6">
      <w:pPr>
        <w:pStyle w:val="Default"/>
        <w:spacing w:after="14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Od dnia 1 stycznia 2014 r. obowiązują (również w leśnictwie) zasady integrowanej ochrony roślin określone w Rozporządzeniu Ministra Rolnictwa i Rozwoju Wsi (MRiRW) z dnia 18 kwietnia 2013 r. W integrowanej ochronie roślin głównym celem wszystkich zabiegów pozostaje roślina.</w:t>
      </w:r>
    </w:p>
    <w:p w14:paraId="5EE13B59" w14:textId="77777777" w:rsidR="00DF794B" w:rsidRPr="00962C48" w:rsidRDefault="00DF794B" w:rsidP="007813F6">
      <w:pPr>
        <w:pStyle w:val="Default"/>
        <w:spacing w:after="14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Bardzo ważnym elementem tej koncepcji jest profilaktyka a następnie zabiegi ratownicze, w których pierwszeństwo mają metody mechaniczne, biologiczne i biotechniczne obejmujące stosowanie pułapek, insektycydów biologicznych oraz substancji wpływających na zachowanie owadów, takich jak feromony i kairomony. Natomiast zabiegi chemiczne są tzw. ostatecznością, stosowaną po wyczerpaniu innych metod i w przypadkach zagrażających trwałości upraw.</w:t>
      </w:r>
    </w:p>
    <w:p w14:paraId="01AEA58B" w14:textId="77777777" w:rsidR="00DF794B" w:rsidRPr="00272DD3" w:rsidRDefault="00DF794B" w:rsidP="007813F6">
      <w:pPr>
        <w:pStyle w:val="Default"/>
        <w:spacing w:after="14"/>
        <w:ind w:left="708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W związku z wprowadzeniem tych przepisów, na zlecenie Dyrekcji Generalnej Lasów Państwowych zostały opracowane dwie metodyki dotyczące integrowanej ochrony drzewostanów iglastych i liściastych, dostępne na stronach internetowych:</w:t>
      </w:r>
    </w:p>
    <w:p w14:paraId="241181AA" w14:textId="77777777" w:rsidR="00DF794B" w:rsidRPr="00272DD3" w:rsidRDefault="00DF794B" w:rsidP="007813F6">
      <w:pPr>
        <w:pStyle w:val="Default"/>
        <w:numPr>
          <w:ilvl w:val="0"/>
          <w:numId w:val="2"/>
        </w:numPr>
        <w:spacing w:after="14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PLATFORMY SYGNALIZACJI AGROFAGÓW: https://www.agrofagi.com.pl/ → metodyki i</w:t>
      </w:r>
      <w:r w:rsidR="00C56B12" w:rsidRPr="00272DD3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</w:t>
      </w:r>
      <w:r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poradniki → metodyki integrowanej ochrony roślin → inne</w:t>
      </w:r>
    </w:p>
    <w:p w14:paraId="4EA82B21" w14:textId="77777777" w:rsidR="00DF794B" w:rsidRPr="00272DD3" w:rsidRDefault="00DF794B" w:rsidP="007813F6">
      <w:pPr>
        <w:pStyle w:val="Default"/>
        <w:numPr>
          <w:ilvl w:val="0"/>
          <w:numId w:val="2"/>
        </w:numPr>
        <w:spacing w:after="14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INSTYTUTU BADAWCZEGO LEŚNICTWA www.ibles.pl → Doradztwo i usługi;</w:t>
      </w:r>
    </w:p>
    <w:p w14:paraId="248B6FB3" w14:textId="77777777" w:rsidR="00DF794B" w:rsidRPr="00272DD3" w:rsidRDefault="002D3A3F" w:rsidP="00D10CA3">
      <w:pPr>
        <w:pStyle w:val="Default"/>
        <w:numPr>
          <w:ilvl w:val="0"/>
          <w:numId w:val="2"/>
        </w:numPr>
        <w:spacing w:after="14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LASÓW PAŃ</w:t>
      </w:r>
      <w:r w:rsidR="00DF794B"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STWOWYCH</w:t>
      </w:r>
      <w:r w:rsidR="00D10CA3" w:rsidRPr="00272DD3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-</w:t>
      </w:r>
      <w:r w:rsidR="00272DD3" w:rsidRPr="00272DD3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</w:t>
      </w:r>
      <w:r w:rsidR="00D10CA3"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www.lasy.gov.pl/pl/pro/publikacje/copy_of_gospodarka-lesna/ochrona_lasu/ocena-wplywu-insektycydow</w:t>
      </w:r>
    </w:p>
    <w:p w14:paraId="1448F049" w14:textId="77777777" w:rsidR="007B568B" w:rsidRPr="00272DD3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4D36D438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272DD3">
        <w:rPr>
          <w:rFonts w:asciiTheme="minorHAnsi" w:hAnsiTheme="minorHAnsi"/>
          <w:color w:val="2F5496" w:themeColor="accent5" w:themeShade="BF"/>
          <w:sz w:val="22"/>
          <w:szCs w:val="22"/>
        </w:rPr>
        <w:t>2. Podjąć porównawczą ocenę ORŚIS odpowiednio do skali, intensywności i ryzyka (SIR) w ramach zi</w:t>
      </w: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ntegrowanej ochrony przed szkodnikami w celu identyfikacji: metody zwalczania szkodników, chwastów lub chorób o najniższym ryzyku, warunków jej stosowania oraz ogólnych środków łagodzenia i monitorowania w celu zminimalizowania ryzyka. </w:t>
      </w:r>
    </w:p>
    <w:p w14:paraId="4B784EEC" w14:textId="77777777" w:rsidR="00E41379" w:rsidRPr="00962C48" w:rsidRDefault="00E41379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617880C2" w14:textId="77777777" w:rsidR="00E41379" w:rsidRPr="00962C48" w:rsidRDefault="00F305AD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Oceny prowadzone są na bieżącą zgodnie z koncepcją INTEGROWANEJ OCHRONY LASU</w:t>
      </w:r>
    </w:p>
    <w:p w14:paraId="66F08830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34A580FD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3. Uwzględnić w swojej ocenie ORŚIS minimalny wykaz rodzajów zagrożeń, elementów i zmiennych ekspo</w:t>
      </w:r>
      <w:r w:rsidR="00E41379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zycji opisanych w Załączniku 2.</w:t>
      </w:r>
    </w:p>
    <w:p w14:paraId="4C5244CC" w14:textId="77777777" w:rsidR="00E41379" w:rsidRPr="00962C48" w:rsidRDefault="00E41379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0B262C9D" w14:textId="77777777" w:rsidR="00E41379" w:rsidRPr="00962C48" w:rsidRDefault="00E41379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W dalszej części opracowania.</w:t>
      </w:r>
    </w:p>
    <w:p w14:paraId="528A4918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1E22F131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4. Wybrać opcję, która wykazuje najmniej szkód społecznych i środowiskowych, większą skuteczność i równe lub większe kor</w:t>
      </w:r>
      <w:r w:rsidR="0060498D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zyści społeczne i środowiskowe.</w:t>
      </w:r>
    </w:p>
    <w:p w14:paraId="3D8BA59D" w14:textId="77777777" w:rsidR="0060498D" w:rsidRPr="00962C48" w:rsidRDefault="0060498D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315D5672" w14:textId="77777777" w:rsidR="0060498D" w:rsidRPr="00962C48" w:rsidRDefault="0060498D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lastRenderedPageBreak/>
        <w:t xml:space="preserve">Biorąc pod uwagę aspekty społeczne, ekologiczne i ekonomiczne stosowanie </w:t>
      </w:r>
      <w:r w:rsidR="00D12AEA" w:rsidRPr="00D12AEA">
        <w:rPr>
          <w:rFonts w:asciiTheme="minorHAnsi" w:hAnsiTheme="minorHAnsi"/>
          <w:color w:val="2F5496" w:themeColor="accent5" w:themeShade="BF"/>
          <w:sz w:val="22"/>
          <w:szCs w:val="22"/>
        </w:rPr>
        <w:t>Mospilanu 20 SP p</w:t>
      </w:r>
      <w:r w:rsidR="00503AD6">
        <w:rPr>
          <w:rFonts w:asciiTheme="minorHAnsi" w:hAnsiTheme="minorHAnsi"/>
          <w:color w:val="2F5496" w:themeColor="accent5" w:themeShade="BF"/>
          <w:sz w:val="22"/>
          <w:szCs w:val="22"/>
        </w:rPr>
        <w:t>rzy użyciu techniki lotniczej</w:t>
      </w:r>
      <w:r w:rsidR="00D12AEA" w:rsidRPr="00D12AEA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jest aktualnie najkorzystniejsze dla ochrony drzewostanów, w których zagrożenie upraw żerami pędraków jest wyjątkowo silne oraz istnieją  trudności w uzyskaniu trwałego odnowienia lasu</w:t>
      </w:r>
      <w:r w:rsidR="00750B6E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.</w:t>
      </w:r>
    </w:p>
    <w:p w14:paraId="64CA2828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3A737114" w14:textId="77777777" w:rsidR="007029E2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5. Zachować zgodność z obowiązującymi międzynarodowymi i krajowymi wskaźnikami i progami dotyczącymi stosowania WNP.</w:t>
      </w:r>
    </w:p>
    <w:p w14:paraId="79C5F157" w14:textId="77777777" w:rsidR="007029E2" w:rsidRPr="00962C48" w:rsidRDefault="007029E2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39C89815" w14:textId="77777777" w:rsidR="007B568B" w:rsidRPr="00962C48" w:rsidRDefault="007029E2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Zgodność zachowana.</w:t>
      </w:r>
      <w:r w:rsidR="007B568B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</w:t>
      </w:r>
    </w:p>
    <w:p w14:paraId="5F7F32AC" w14:textId="77777777" w:rsidR="003B5DE6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2DC7D08B" w14:textId="77777777" w:rsidR="009155F3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AKTUALNE PRAWODAWSTWO DOTYCZĄCE OBROTU I STOSOWANIA ŚRODKÓW OCHRONY ROŚLIN </w:t>
      </w:r>
      <w:r w:rsidR="009155F3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dostępne jest w broszurze ŚRODKI OCHRONY ROŚLIN ORAZ ŚRODKI BIOBÓJCZE DO STO</w:t>
      </w:r>
      <w:r w:rsidR="00D12AEA">
        <w:rPr>
          <w:rFonts w:asciiTheme="minorHAnsi" w:hAnsiTheme="minorHAnsi"/>
          <w:color w:val="2F5496" w:themeColor="accent5" w:themeShade="BF"/>
          <w:sz w:val="22"/>
          <w:szCs w:val="22"/>
        </w:rPr>
        <w:t>SOWANIA W LEŚNICTWIE W ROKU 2021</w:t>
      </w:r>
      <w:r w:rsidR="009155F3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wydawanej prz</w:t>
      </w:r>
      <w:r w:rsidR="00214D40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ez Instytut Badawczy Leśnictwa:</w:t>
      </w:r>
    </w:p>
    <w:p w14:paraId="65983917" w14:textId="77777777" w:rsidR="003B5DE6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1BD303F8" w14:textId="77777777" w:rsidR="003B5DE6" w:rsidRPr="00962C48" w:rsidRDefault="00466B5D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1.</w:t>
      </w:r>
      <w:r w:rsidR="003B5DE6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Dyrektywa 2009/128/WE </w:t>
      </w:r>
    </w:p>
    <w:p w14:paraId="094C080E" w14:textId="77777777" w:rsidR="003B5DE6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2. Rozporządzenie nr 1107/2009 </w:t>
      </w:r>
    </w:p>
    <w:p w14:paraId="44DDB516" w14:textId="77777777" w:rsidR="003B5DE6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3. Ustawa o środkach ochrony roślin z 8 marca 2013 r. </w:t>
      </w:r>
    </w:p>
    <w:p w14:paraId="0878E915" w14:textId="77777777" w:rsidR="003B5DE6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4. Integrowana ochrona lasu </w:t>
      </w:r>
    </w:p>
    <w:p w14:paraId="2192872C" w14:textId="77777777" w:rsidR="003B5DE6" w:rsidRPr="00962C48" w:rsidRDefault="009155F3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5</w:t>
      </w:r>
      <w:r w:rsidR="003B5DE6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. Wykaz krajowych dokumentów obowiązujących użytkowników profesjonalnych stosujących ś.o.r.</w:t>
      </w:r>
    </w:p>
    <w:p w14:paraId="0D5873D6" w14:textId="77777777" w:rsidR="00466B5D" w:rsidRPr="00962C48" w:rsidRDefault="009155F3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6</w:t>
      </w:r>
      <w:r w:rsidR="00466B5D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. Pełne teksty zarządzeń</w:t>
      </w:r>
      <w:r w:rsidR="003B5DE6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dyrektora generalnego Lasów Pa</w:t>
      </w:r>
      <w:r w:rsidR="00214D40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ń</w:t>
      </w:r>
      <w:r w:rsidR="003B5DE6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stwowy</w:t>
      </w:r>
      <w:r w:rsidR="00466B5D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ch w sprawie stosowania środków ochrony roślin w Lasach Pań</w:t>
      </w:r>
      <w:r w:rsidR="003B5DE6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stwowych</w:t>
      </w:r>
    </w:p>
    <w:p w14:paraId="15608BD9" w14:textId="77777777" w:rsidR="00466B5D" w:rsidRPr="00962C48" w:rsidRDefault="00466B5D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33E1B2AA" w14:textId="77777777" w:rsidR="00750B6E" w:rsidRPr="00962C48" w:rsidRDefault="00D12AEA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>Środek ochrony roślin Mospilan 20 SP posiada Zezwolenie MRiRW nr R - 37/2008 z dnia 29.04.2008 r. ostatnio zmienione decyzją MRiRW nr R - 258/2020d z dnia 07. 04.2019 r.</w:t>
      </w:r>
    </w:p>
    <w:p w14:paraId="748FEB63" w14:textId="77777777" w:rsidR="00750B6E" w:rsidRPr="00962C48" w:rsidRDefault="00750B6E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504627AE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2E6D1BA6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6. Przed zastosowaniem pestycydu syntetycznego, Organizacja ma obowiązek uwzględnić wyniki swojej oceny ORŚIS w planach operacyjnych dla danego obszaru, zidentyfikować zagrożenia specyficzne dla danego obszaru i dostosować ogólne środki łagodzące i monitorujące uprzednio określone w ORŚIS w ramach zintegrowanej ochrony przed szkodnikami (punkt 4.12.2). </w:t>
      </w:r>
    </w:p>
    <w:p w14:paraId="2ACA7630" w14:textId="77777777" w:rsidR="006B4D14" w:rsidRPr="00962C48" w:rsidRDefault="006B4D14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3424E2D5" w14:textId="77777777" w:rsidR="006B4D14" w:rsidRPr="00962C48" w:rsidRDefault="006B4D14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W planach operacyjnych uwzględniana jest ORŚIS</w:t>
      </w:r>
      <w:r w:rsidR="001536B1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,</w:t>
      </w: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a stosowanie </w:t>
      </w:r>
      <w:r w:rsidR="00D12AEA">
        <w:rPr>
          <w:rFonts w:asciiTheme="minorHAnsi" w:hAnsiTheme="minorHAnsi"/>
          <w:color w:val="2F5496" w:themeColor="accent5" w:themeShade="BF"/>
          <w:sz w:val="22"/>
          <w:szCs w:val="22"/>
        </w:rPr>
        <w:t>Mospilanu</w:t>
      </w:r>
      <w:r w:rsidR="001536B1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odbywa się zgodnie z jej etykietą.</w:t>
      </w:r>
    </w:p>
    <w:p w14:paraId="061EE597" w14:textId="77777777" w:rsidR="009B21C3" w:rsidRPr="00962C48" w:rsidRDefault="009B21C3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Najważniejsze zalety:</w:t>
      </w:r>
    </w:p>
    <w:p w14:paraId="6A5A8E05" w14:textId="77777777" w:rsidR="007B568B" w:rsidRDefault="00D12AEA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>Mospilan 20 SP</w:t>
      </w:r>
      <w:r w:rsidR="001E5DAD">
        <w:rPr>
          <w:rFonts w:asciiTheme="minorHAnsi" w:hAnsiTheme="minorHAnsi"/>
          <w:color w:val="2F5496" w:themeColor="accent5" w:themeShade="BF"/>
          <w:sz w:val="22"/>
          <w:szCs w:val="22"/>
        </w:rPr>
        <w:t>, zgodnie z informacjami zawartymi na etykiecie</w:t>
      </w:r>
      <w:r w:rsidR="001E5DAD" w:rsidRPr="001E5DAD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środka </w:t>
      </w:r>
      <w:r w:rsidR="001E5DAD">
        <w:rPr>
          <w:rFonts w:asciiTheme="minorHAnsi" w:hAnsiTheme="minorHAnsi"/>
          <w:color w:val="2F5496" w:themeColor="accent5" w:themeShade="BF"/>
          <w:sz w:val="22"/>
          <w:szCs w:val="22"/>
        </w:rPr>
        <w:t>(</w:t>
      </w:r>
      <w:r w:rsidR="001E5DAD" w:rsidRPr="001E5DAD">
        <w:rPr>
          <w:rFonts w:asciiTheme="minorHAnsi" w:hAnsiTheme="minorHAnsi"/>
          <w:color w:val="2F5496" w:themeColor="accent5" w:themeShade="BF"/>
          <w:sz w:val="22"/>
          <w:szCs w:val="22"/>
        </w:rPr>
        <w:t>H410</w:t>
      </w:r>
      <w:r w:rsidR="001E5DAD">
        <w:rPr>
          <w:rFonts w:asciiTheme="minorHAnsi" w:hAnsiTheme="minorHAnsi"/>
          <w:color w:val="2F5496" w:themeColor="accent5" w:themeShade="BF"/>
          <w:sz w:val="22"/>
          <w:szCs w:val="22"/>
        </w:rPr>
        <w:t>)</w:t>
      </w: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wykazuje niską toksyczność dla zwierząt stałocieplnych, pszczół i innych owadów zapylających oraz brak działań drażniących i uczulających. </w:t>
      </w:r>
      <w:r w:rsidR="00272DD3">
        <w:rPr>
          <w:rFonts w:asciiTheme="minorHAnsi" w:hAnsiTheme="minorHAnsi"/>
          <w:color w:val="2F5496" w:themeColor="accent5" w:themeShade="BF"/>
          <w:sz w:val="22"/>
          <w:szCs w:val="22"/>
        </w:rPr>
        <w:t>Właściwością n</w:t>
      </w: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>eonikotynoidów jest ich owadobójcze systemiczne działanie w roślinie, tzn. zdolność do wnikania przez liście lub korzenie i przemieszczania się do odległych miejsc, np. do rozwijających się liści. Wewnątrz rośliny preparat utrzymuje aktywność dłużej niż na powierzchni, a sumaryczne działanie na owady - kontaktowe i żołądkowe trwa, w zależności od gatunku i fazy rozwojowej rośliny, około 10 dni, co wystarcza do ograniczenia liczebności każdego żerującego na opryskanej roślinie lub w jej wnętrzu szkodnika, o ile termin zabiegu został właściwie dobrany.</w:t>
      </w:r>
    </w:p>
    <w:p w14:paraId="2F07508D" w14:textId="77777777" w:rsidR="00D12AEA" w:rsidRPr="00962C48" w:rsidRDefault="00D12AEA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46A9F8EE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7. Oceny ORŚIS oraz ich włączenie do planów operacyjnych udostępnić na </w:t>
      </w:r>
      <w:r w:rsidR="003B5DE6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życzenie stronom zaangażowanym.</w:t>
      </w:r>
    </w:p>
    <w:p w14:paraId="01BF95C9" w14:textId="77777777" w:rsidR="003B5DE6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2DE1F2E6" w14:textId="77777777" w:rsidR="003B5DE6" w:rsidRPr="00962C48" w:rsidRDefault="003B5DE6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Zgodnie z ustawą z dnia 6 września 2001 r. o dostępie do informacji publicznej (z póz. zm.) oraz ustawą dnia 3 października 2008 r. o udostępnianiu informacji o środowisku i jego ochronie, udziale społeczeństwa w ochronie środowiska oraz o ocenach oddziaływania na środowisko (z póz. zm.), ww. informację są udostępniane na życzenie stronom zaangażowanym.</w:t>
      </w:r>
    </w:p>
    <w:p w14:paraId="503021D8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</w:rPr>
      </w:pPr>
    </w:p>
    <w:p w14:paraId="618F4677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lastRenderedPageBreak/>
        <w:t xml:space="preserve">8. Korzystać z internetowej bazy danych FSC w celu wymiany informacji na temat metod alternatywnych i procedur monitorowania. </w:t>
      </w:r>
    </w:p>
    <w:p w14:paraId="508F2BC1" w14:textId="77777777" w:rsidR="00071432" w:rsidRPr="00962C48" w:rsidRDefault="00071432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1F8E73DE" w14:textId="77777777" w:rsidR="00071432" w:rsidRPr="00962C48" w:rsidRDefault="00071432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Baza danych wykorzystywana ww. celu: </w:t>
      </w:r>
      <w:hyperlink r:id="rId9" w:history="1">
        <w:r w:rsidRPr="00962C48">
          <w:rPr>
            <w:rStyle w:val="Hipercze"/>
            <w:rFonts w:asciiTheme="minorHAnsi" w:hAnsiTheme="minorHAnsi"/>
            <w:color w:val="2F5496" w:themeColor="accent5" w:themeShade="BF"/>
            <w:sz w:val="22"/>
            <w:szCs w:val="22"/>
          </w:rPr>
          <w:t>http://pesticides.fsc.org/strategy-database</w:t>
        </w:r>
      </w:hyperlink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</w:t>
      </w:r>
    </w:p>
    <w:p w14:paraId="36FFBC94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0BF244B3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9. Wprowadzić programy, zgodne z SIR, w celu badania, identyfikacji i testowania alternatyw, które, jako mniej niebezpieczne, miałyby zastąpić WNP objęte ścisłymi ograniczeniami przez FSC i WNP objęte ograniczeniami przez FSC. Programy powinny zawierać jasne działania, ramy czaso</w:t>
      </w:r>
      <w:r w:rsidR="00595EA4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we, cele i przydzielone zasoby.</w:t>
      </w:r>
    </w:p>
    <w:p w14:paraId="68422CB7" w14:textId="77777777" w:rsidR="00D12AEA" w:rsidRDefault="00D12AEA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4DBA5055" w14:textId="77777777" w:rsidR="007B568B" w:rsidRDefault="00D12AEA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W zakresie stosowania środka Mospilan 20 SP wobec postaci doskonałych chrabąszczy w celu istotnego rozrzedzenia </w:t>
      </w:r>
      <w:r w:rsidR="00C8765D">
        <w:rPr>
          <w:rFonts w:asciiTheme="minorHAnsi" w:hAnsiTheme="minorHAnsi"/>
          <w:color w:val="2F5496" w:themeColor="accent5" w:themeShade="BF"/>
          <w:sz w:val="22"/>
          <w:szCs w:val="22"/>
        </w:rPr>
        <w:t>liczebności przyszłych pędraków</w:t>
      </w: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prowadzone</w:t>
      </w:r>
      <w:r w:rsidR="00C8765D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są</w:t>
      </w: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oceny skuteczności połączone z poszukiwaniem innych dostępnych na rynku środków</w:t>
      </w:r>
      <w:r w:rsidR="00C8765D">
        <w:rPr>
          <w:rFonts w:asciiTheme="minorHAnsi" w:hAnsiTheme="minorHAnsi"/>
          <w:color w:val="2F5496" w:themeColor="accent5" w:themeShade="BF"/>
          <w:sz w:val="22"/>
          <w:szCs w:val="22"/>
        </w:rPr>
        <w:t>,</w:t>
      </w: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mogących znaleźć zastosowanie w leśnictwie oraz w latach międzyrójkowych kontynuowane będą działania integrowanej ochrony lasu wykorzystujące metody agrotechniczne i hodowlane, zwiększające odporność drzewek</w:t>
      </w:r>
      <w:r w:rsidR="00C8765D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i</w:t>
      </w:r>
      <w:r w:rsidR="00154505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</w:t>
      </w:r>
      <w:r w:rsidR="00C8765D">
        <w:rPr>
          <w:rFonts w:asciiTheme="minorHAnsi" w:hAnsiTheme="minorHAnsi"/>
          <w:color w:val="2F5496" w:themeColor="accent5" w:themeShade="BF"/>
          <w:sz w:val="22"/>
          <w:szCs w:val="22"/>
        </w:rPr>
        <w:t>upraw leśnych (drzewostanów)</w:t>
      </w:r>
      <w:r w:rsidRPr="00D12AEA">
        <w:rPr>
          <w:rFonts w:asciiTheme="minorHAnsi" w:hAnsiTheme="minorHAnsi"/>
          <w:color w:val="2F5496" w:themeColor="accent5" w:themeShade="BF"/>
          <w:sz w:val="22"/>
          <w:szCs w:val="22"/>
        </w:rPr>
        <w:t>, a także wpływające na mniejszą płodność chrabąszczy.</w:t>
      </w:r>
      <w:r w:rsidR="0050410D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</w:t>
      </w:r>
    </w:p>
    <w:p w14:paraId="7FA89D46" w14:textId="77777777" w:rsidR="00FE6EFE" w:rsidRPr="00962C48" w:rsidRDefault="00FE6EFE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02A682D1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10. Współpracować z interesariuszami zgodnie z wymogami obowiązującego Krajowego Standardu Gospodarki Leśnej lub Tymczasowego Krajowego Standardu podcz</w:t>
      </w:r>
      <w:r w:rsidR="00EC4079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as przeprowadzania oceny ORŚIS.</w:t>
      </w:r>
    </w:p>
    <w:p w14:paraId="48F52D1E" w14:textId="77777777" w:rsidR="00EC4079" w:rsidRPr="00962C48" w:rsidRDefault="00EC4079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00D0C3A7" w14:textId="77777777" w:rsidR="00595EA4" w:rsidRPr="00962C48" w:rsidRDefault="00EC4079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KRAJOWY STANDARD GOSPODARKI LEŚNEJ FSC® W POLSCE FSC-STD-POL-01-01-2013 PL </w:t>
      </w:r>
      <w:r w:rsidR="00D83F3D">
        <w:rPr>
          <w:rFonts w:asciiTheme="minorHAnsi" w:hAnsiTheme="minorHAnsi"/>
          <w:color w:val="2F5496" w:themeColor="accent5" w:themeShade="BF"/>
          <w:sz w:val="22"/>
          <w:szCs w:val="22"/>
        </w:rPr>
        <w:t>określa stosowanie</w:t>
      </w:r>
      <w:r w:rsidR="00595EA4"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pestycydów w kryterium 6.6 natomiast w ZASADZIE 4. WSPÓŁPRACA ZE SPOŁECZEŃSTWEM I PRAWA PRACOWNIKÓW okr</w:t>
      </w:r>
      <w:r w:rsidR="007813F6">
        <w:rPr>
          <w:rFonts w:asciiTheme="minorHAnsi" w:hAnsiTheme="minorHAnsi"/>
          <w:color w:val="2F5496" w:themeColor="accent5" w:themeShade="BF"/>
          <w:sz w:val="22"/>
          <w:szCs w:val="22"/>
        </w:rPr>
        <w:t>eśla relacje z interesariuszami.</w:t>
      </w:r>
      <w:r w:rsidR="00C8765D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Współpraca z interesariuszami jest i będzie zachowana, z poszanowaniem ww.  zasad i kryteriów.</w:t>
      </w:r>
    </w:p>
    <w:p w14:paraId="63EE896D" w14:textId="77777777" w:rsidR="00595EA4" w:rsidRPr="00962C48" w:rsidRDefault="00595EA4" w:rsidP="007813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F5496" w:themeColor="accent5" w:themeShade="BF"/>
        </w:rPr>
      </w:pPr>
    </w:p>
    <w:p w14:paraId="511AF76F" w14:textId="77777777" w:rsidR="00595EA4" w:rsidRPr="00962C48" w:rsidRDefault="00595EA4" w:rsidP="007813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F5496" w:themeColor="accent5" w:themeShade="BF"/>
        </w:rPr>
      </w:pPr>
      <w:r w:rsidRPr="00962C48">
        <w:rPr>
          <w:rFonts w:cs="Arial"/>
          <w:color w:val="2F5496" w:themeColor="accent5" w:themeShade="BF"/>
        </w:rPr>
        <w:t xml:space="preserve">4.2.1. Prace leśne wykonywane są przez podmioty gwarantujące i stosujące wymagany przepisami prawa poziom usług co do bezpieczeństwa, jakości, troski o środowisko i techniki prac. </w:t>
      </w:r>
    </w:p>
    <w:p w14:paraId="129344A7" w14:textId="77777777" w:rsidR="00595EA4" w:rsidRPr="00962C48" w:rsidRDefault="00595EA4" w:rsidP="007813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F5496" w:themeColor="accent5" w:themeShade="BF"/>
        </w:rPr>
      </w:pPr>
    </w:p>
    <w:p w14:paraId="36BD80A7" w14:textId="77777777" w:rsidR="00EC4079" w:rsidRPr="00962C48" w:rsidRDefault="00595EA4" w:rsidP="007813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F5496" w:themeColor="accent5" w:themeShade="BF"/>
        </w:rPr>
      </w:pPr>
      <w:r w:rsidRPr="00D83F3D">
        <w:rPr>
          <w:rFonts w:cs="Arial"/>
          <w:color w:val="2F5496" w:themeColor="accent5" w:themeShade="BF"/>
        </w:rPr>
        <w:t xml:space="preserve">4.2.2. W terenie wykorzystywany jest sprzęt gwarantujący bezpieczeństwo i higienę pracy, </w:t>
      </w:r>
      <w:r w:rsidR="00C8765D">
        <w:rPr>
          <w:rFonts w:cs="Arial"/>
          <w:color w:val="2F5496" w:themeColor="accent5" w:themeShade="BF"/>
        </w:rPr>
        <w:t>zgodny z obowiązującymi w tym zakresie przepisami powszechnymi oraz wewnętrznymi uregulowaniami PGL LP</w:t>
      </w:r>
      <w:r w:rsidRPr="00D83F3D">
        <w:rPr>
          <w:rFonts w:cs="Arial"/>
          <w:color w:val="2F5496" w:themeColor="accent5" w:themeShade="BF"/>
        </w:rPr>
        <w:t>. Wszyscy pracownicy mają dos</w:t>
      </w:r>
      <w:r w:rsidR="00D83F3D">
        <w:rPr>
          <w:rFonts w:cs="Arial"/>
          <w:color w:val="2F5496" w:themeColor="accent5" w:themeShade="BF"/>
        </w:rPr>
        <w:t>tęp do apteczki pierwszej pomocy.</w:t>
      </w:r>
    </w:p>
    <w:p w14:paraId="1EFD532C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776C83EA" w14:textId="77777777" w:rsidR="00595EA4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11. Nie używać żadnych </w:t>
      </w:r>
      <w:r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WNP zabronionych przez FSC</w:t>
      </w: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, z wyjątkiem sytuacji nadzwyczajnych lub na polecenie rządu. (Patrz Załącznik 3. Procedura stosowania WNP zabronionych przez FSC w przypadku sytuacji nadzwyczajnych lub na polecenie rządu).</w:t>
      </w:r>
    </w:p>
    <w:p w14:paraId="190DAC69" w14:textId="77777777" w:rsidR="00595EA4" w:rsidRPr="00962C48" w:rsidRDefault="00595EA4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3C9BEA1F" w14:textId="77777777" w:rsidR="007B568B" w:rsidRPr="00962C48" w:rsidRDefault="00595EA4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>Nie dotyczy. Substancja aktywna będąca przedmiotem ORŚIS znajduje się na liście WNP OBJĘTYCH ŚCISŁYMI OGRANICZENIAMI PRZEZ FSC</w:t>
      </w:r>
    </w:p>
    <w:p w14:paraId="44718705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5255A9E6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12. Informować niezależne zakłady przetwórcze zlokalizowane w obszarze przestrzennym jednostki gospodarowania (JG) oraz niezależne szkółki leśne o wykazie FSC zabronionych pestycydów syntetycznych, zachęcając ich do unikania stosowania tych pestycydów w ich działaniach oraz w produkcji sadzonek i innych materiałów wprowadzanych do jednostki gospodarowania. </w:t>
      </w:r>
    </w:p>
    <w:p w14:paraId="3B63C9A7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5CDA04C2" w14:textId="77777777" w:rsidR="00AD146C" w:rsidRDefault="00AD146C" w:rsidP="00AD146C">
      <w:pPr>
        <w:pStyle w:val="Default"/>
        <w:jc w:val="both"/>
        <w:rPr>
          <w:rFonts w:asciiTheme="minorHAnsi" w:hAnsiTheme="minorHAnsi"/>
          <w:strike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Wszystkie Nadleśnictwa mają obowiązek informować w/w instytucje i firmy o wykazie FSC zabronionych pestycydów syntetycznych oraz zachęcając ich do unikania stosowania tych pestycydów w ich działaniach i produkcji.</w:t>
      </w:r>
    </w:p>
    <w:p w14:paraId="57D2A113" w14:textId="77777777" w:rsidR="007B41E2" w:rsidRPr="00962C48" w:rsidRDefault="007B41E2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467A37D5" w14:textId="77777777" w:rsidR="007B568B" w:rsidRPr="00962C48" w:rsidRDefault="007B568B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13. Zwrócić się o wykaz pestycydów syntetycznych zabronionych przez FSC stosowanych przez zakłady przetwórcze i szkółki opisane w punkcie 4.12.12. </w:t>
      </w:r>
    </w:p>
    <w:p w14:paraId="59BCCFBA" w14:textId="77777777" w:rsidR="007B41E2" w:rsidRPr="00962C48" w:rsidRDefault="007B41E2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1832CFD8" w14:textId="77777777" w:rsidR="00AD146C" w:rsidRDefault="00AD146C" w:rsidP="00AD146C">
      <w:pPr>
        <w:pStyle w:val="Default"/>
        <w:jc w:val="both"/>
        <w:rPr>
          <w:bCs/>
          <w:color w:val="00B050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Wszystkie Nadleśnictwa mają obowiązek zwrócić się </w:t>
      </w:r>
      <w:r>
        <w:rPr>
          <w:rFonts w:asciiTheme="minorHAnsi" w:hAnsiTheme="minorHAnsi"/>
          <w:sz w:val="22"/>
          <w:szCs w:val="22"/>
        </w:rPr>
        <w:t>o wykaz pestycydów syntetycznych zabronionych przez FSC stosowanych przez zakłady przetwórcze i szkółki opisane w punkcie 4.12.12.</w:t>
      </w:r>
    </w:p>
    <w:p w14:paraId="705C4910" w14:textId="77777777" w:rsidR="00AD146C" w:rsidRDefault="00AD146C" w:rsidP="00AD146C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  <w:sectPr w:rsidR="00AD146C">
          <w:pgSz w:w="11906" w:h="16838"/>
          <w:pgMar w:top="1134" w:right="1417" w:bottom="1417" w:left="1417" w:header="708" w:footer="708" w:gutter="0"/>
          <w:cols w:space="708"/>
        </w:sectPr>
      </w:pPr>
    </w:p>
    <w:p w14:paraId="51A87036" w14:textId="77777777" w:rsidR="00D83F3D" w:rsidRDefault="00D83F3D" w:rsidP="007813F6">
      <w:pPr>
        <w:pStyle w:val="Default"/>
        <w:jc w:val="both"/>
        <w:rPr>
          <w:rFonts w:asciiTheme="minorHAnsi" w:hAnsiTheme="minorHAnsi"/>
          <w:color w:val="2F5496" w:themeColor="accent5" w:themeShade="BF"/>
          <w:sz w:val="22"/>
          <w:szCs w:val="22"/>
        </w:rPr>
      </w:pPr>
    </w:p>
    <w:p w14:paraId="45E596AB" w14:textId="77777777" w:rsidR="00D83F3D" w:rsidRPr="00962C48" w:rsidRDefault="00D83F3D" w:rsidP="007813F6">
      <w:pPr>
        <w:pStyle w:val="Default"/>
        <w:jc w:val="both"/>
        <w:rPr>
          <w:rFonts w:asciiTheme="minorHAnsi" w:hAnsiTheme="minorHAnsi"/>
          <w:b/>
          <w:bCs/>
          <w:color w:val="2F5496" w:themeColor="accent5" w:themeShade="BF"/>
        </w:rPr>
      </w:pPr>
    </w:p>
    <w:p w14:paraId="13D1E9CD" w14:textId="77777777" w:rsidR="00541632" w:rsidRPr="00962C48" w:rsidRDefault="00541632" w:rsidP="00F207AC">
      <w:pPr>
        <w:rPr>
          <w:b/>
          <w:bCs/>
          <w:color w:val="2F5496" w:themeColor="accent5" w:themeShade="BF"/>
        </w:rPr>
      </w:pPr>
    </w:p>
    <w:p w14:paraId="7703227B" w14:textId="77777777" w:rsidR="00DE7576" w:rsidRDefault="00DE7576" w:rsidP="00DE7576">
      <w:pPr>
        <w:rPr>
          <w:bCs/>
          <w:color w:val="2F5496" w:themeColor="accent5" w:themeShade="BF"/>
        </w:rPr>
      </w:pPr>
      <w:r w:rsidRPr="002C5AD8">
        <w:rPr>
          <w:bCs/>
          <w:color w:val="2F5496" w:themeColor="accent5" w:themeShade="BF"/>
        </w:rPr>
        <w:t xml:space="preserve">Sprzęt, sposób aplikacji preparatu i znoszenie (tzw. spray drift) </w:t>
      </w:r>
    </w:p>
    <w:p w14:paraId="4E4EADB0" w14:textId="77777777" w:rsidR="00D41FD9" w:rsidRPr="002C5AD8" w:rsidRDefault="00D41FD9" w:rsidP="00DE7576">
      <w:pPr>
        <w:rPr>
          <w:bCs/>
          <w:color w:val="2F5496" w:themeColor="accent5" w:themeShade="BF"/>
        </w:rPr>
      </w:pPr>
      <w:r>
        <w:rPr>
          <w:noProof/>
          <w:lang w:eastAsia="pl-PL"/>
        </w:rPr>
        <w:drawing>
          <wp:inline distT="0" distB="0" distL="0" distR="0" wp14:anchorId="5967FE99" wp14:editId="059F2AA6">
            <wp:extent cx="4352925" cy="2600325"/>
            <wp:effectExtent l="0" t="0" r="9525" b="9525"/>
            <wp:docPr id="2" name="Obraz 2" descr="Znalezione obrazy dla zapytania: spray d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spray drif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0D15" w14:textId="77777777" w:rsidR="00DE7576" w:rsidRPr="002C5AD8" w:rsidRDefault="00DE7576" w:rsidP="007813F6">
      <w:pPr>
        <w:spacing w:after="0"/>
        <w:jc w:val="both"/>
        <w:rPr>
          <w:bCs/>
          <w:color w:val="2F5496" w:themeColor="accent5" w:themeShade="BF"/>
        </w:rPr>
      </w:pPr>
      <w:r w:rsidRPr="002C5AD8">
        <w:rPr>
          <w:bCs/>
          <w:color w:val="2F5496" w:themeColor="accent5" w:themeShade="BF"/>
        </w:rPr>
        <w:t>Zabiegi ochronne z zastosowaniem środków ochrony roślin przy użyciu lotniczej aparatury opryskującej wykonywane są zgodnie z obowiązującymi przepisami prawa, z największą ostrożnością i precyzją. Stosowanie środków ochrony roślin możliwe jest tylko w razie zachowania minimalnych odległości od wód, pasiek, dróg, nieużytków, czy osiedli ludzkich, przy wilgotności względnej powietrza nie mniejszej niż 60% i prędkości wiatru nie przekraczającej 3-4 m/s. Kwestie te reguluje Rozporządzenie Ministra Rolnictwa i Rozwoju Wsi z dnia 31 marca 2014 r. w sprawie warunków stosowania środków ochrony roślin.</w:t>
      </w:r>
    </w:p>
    <w:p w14:paraId="6E84B7CB" w14:textId="77777777" w:rsidR="00DE7576" w:rsidRPr="002C5AD8" w:rsidRDefault="00DE7576" w:rsidP="007813F6">
      <w:pPr>
        <w:spacing w:after="0"/>
        <w:jc w:val="both"/>
        <w:rPr>
          <w:bCs/>
          <w:color w:val="2F5496" w:themeColor="accent5" w:themeShade="BF"/>
        </w:rPr>
      </w:pPr>
      <w:r w:rsidRPr="002C5AD8">
        <w:rPr>
          <w:bCs/>
          <w:color w:val="2F5496" w:themeColor="accent5" w:themeShade="BF"/>
        </w:rPr>
        <w:t xml:space="preserve">Zainstalowany w kabinie samolotu system DGPS Agro składa się z wysokiej jakości odbiornika GNSS (Global Navigation Satellite Systems) połączonego z komputerem pokładowym wyświetlającym mapy pól zabiegowych i wyliczone linie kolejnych przejść roboczych nad polem zabiegowym. Zamocowana na wysokości linii wzroku pilota listwa kierunkową LIGHTBAR za pomocą gasnących i zapalających się diod sygnalizuje moment wejścia w obszar pola zabiegowego (rozpoczęcia zabiegu) i wyjścia z jego obszaru (zakończenia zabiegu) oraz precyzyjne prowadzi pilota po wytyczonej linii przejścia roboczego z dokładnością ±1m. </w:t>
      </w:r>
    </w:p>
    <w:p w14:paraId="748BC66D" w14:textId="77777777" w:rsidR="00DE7576" w:rsidRPr="002C5AD8" w:rsidRDefault="00BB4ACD" w:rsidP="00DE7576">
      <w:pPr>
        <w:rPr>
          <w:bCs/>
          <w:color w:val="2F5496" w:themeColor="accent5" w:themeShade="BF"/>
        </w:rPr>
      </w:pPr>
      <w:r w:rsidRPr="002C5AD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633C778" wp14:editId="4B782407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2915285" cy="2453640"/>
            <wp:effectExtent l="0" t="0" r="0" b="3810"/>
            <wp:wrapTight wrapText="bothSides">
              <wp:wrapPolygon edited="0">
                <wp:start x="0" y="0"/>
                <wp:lineTo x="0" y="21466"/>
                <wp:lineTo x="21454" y="21466"/>
                <wp:lineTo x="2145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84227" w14:textId="77777777" w:rsidR="00BB4ACD" w:rsidRPr="002C5AD8" w:rsidRDefault="00BB4ACD" w:rsidP="00DE7576">
      <w:pPr>
        <w:rPr>
          <w:bCs/>
          <w:color w:val="2F5496" w:themeColor="accent5" w:themeShade="BF"/>
        </w:rPr>
      </w:pPr>
    </w:p>
    <w:p w14:paraId="3C1EA411" w14:textId="77777777" w:rsidR="00BB4ACD" w:rsidRPr="002C5AD8" w:rsidRDefault="00BB4ACD" w:rsidP="00BB4ACD">
      <w:pPr>
        <w:ind w:left="4536"/>
        <w:jc w:val="both"/>
        <w:rPr>
          <w:rFonts w:ascii="Arial" w:hAnsi="Arial" w:cs="Arial"/>
          <w:sz w:val="18"/>
          <w:szCs w:val="18"/>
        </w:rPr>
      </w:pPr>
      <w:r w:rsidRPr="002C5AD8">
        <w:rPr>
          <w:rFonts w:ascii="Arial" w:hAnsi="Arial" w:cs="Arial"/>
          <w:sz w:val="18"/>
          <w:szCs w:val="18"/>
        </w:rPr>
        <w:t>Ryc. 1. Atomizer obrotowy bębnowy z napędem mechanicznym wiatrakowym typu AU 5000: 1-obrotowy bęben z drucianej siatki,2-nastawne łopatki napędowe wiatraka, 3-łozysko, 4-uniwersalny zacisk montażowy, 5-zawór membranowy odcinający, 6-zawór regulacji natężenia przepływu (wg Claytona 2002, zmodyfikowany).</w:t>
      </w:r>
    </w:p>
    <w:p w14:paraId="7E88E81A" w14:textId="77777777" w:rsidR="00BB4ACD" w:rsidRPr="002C5AD8" w:rsidRDefault="00BB4ACD" w:rsidP="00DE7576">
      <w:pPr>
        <w:rPr>
          <w:bCs/>
          <w:color w:val="2F5496" w:themeColor="accent5" w:themeShade="BF"/>
        </w:rPr>
      </w:pPr>
    </w:p>
    <w:p w14:paraId="653D3C08" w14:textId="77777777" w:rsidR="00BB4ACD" w:rsidRPr="002C5AD8" w:rsidRDefault="00BB4ACD" w:rsidP="00DE7576">
      <w:pPr>
        <w:rPr>
          <w:bCs/>
          <w:color w:val="2F5496" w:themeColor="accent5" w:themeShade="BF"/>
        </w:rPr>
      </w:pPr>
    </w:p>
    <w:p w14:paraId="7934F238" w14:textId="77777777" w:rsidR="00BB4ACD" w:rsidRPr="002C5AD8" w:rsidRDefault="00BB4ACD" w:rsidP="00DE7576">
      <w:pPr>
        <w:rPr>
          <w:bCs/>
          <w:color w:val="2F5496" w:themeColor="accent5" w:themeShade="BF"/>
        </w:rPr>
      </w:pPr>
    </w:p>
    <w:p w14:paraId="7F3D3D16" w14:textId="77777777" w:rsidR="00DE7576" w:rsidRPr="002C5AD8" w:rsidRDefault="00DE7576" w:rsidP="007813F6">
      <w:pPr>
        <w:spacing w:after="0"/>
        <w:jc w:val="both"/>
        <w:rPr>
          <w:bCs/>
          <w:color w:val="2F5496" w:themeColor="accent5" w:themeShade="BF"/>
        </w:rPr>
      </w:pPr>
      <w:r w:rsidRPr="002C5AD8">
        <w:rPr>
          <w:bCs/>
          <w:color w:val="2F5496" w:themeColor="accent5" w:themeShade="BF"/>
        </w:rPr>
        <w:lastRenderedPageBreak/>
        <w:t>Preparat Mospilan 20 SP będzie wprowadzany w korony</w:t>
      </w:r>
      <w:r w:rsidR="00D83F3D" w:rsidRPr="002C5AD8">
        <w:rPr>
          <w:bCs/>
          <w:color w:val="2F5496" w:themeColor="accent5" w:themeShade="BF"/>
        </w:rPr>
        <w:t xml:space="preserve"> drzew przy użyciu zamontowa</w:t>
      </w:r>
      <w:r w:rsidRPr="002C5AD8">
        <w:rPr>
          <w:bCs/>
          <w:color w:val="2F5496" w:themeColor="accent5" w:themeShade="BF"/>
        </w:rPr>
        <w:t>nej na samolocie PZL M18B Dromader podkskrzydłow</w:t>
      </w:r>
      <w:r w:rsidR="0089578E" w:rsidRPr="002C5AD8">
        <w:rPr>
          <w:bCs/>
          <w:color w:val="2F5496" w:themeColor="accent5" w:themeShade="BF"/>
        </w:rPr>
        <w:t>ej aparatury atomizerowej. Umoż</w:t>
      </w:r>
      <w:r w:rsidRPr="002C5AD8">
        <w:rPr>
          <w:bCs/>
          <w:color w:val="2F5496" w:themeColor="accent5" w:themeShade="BF"/>
        </w:rPr>
        <w:t>liwia ona precyzyjną aplik</w:t>
      </w:r>
      <w:r w:rsidR="00D83F3D" w:rsidRPr="002C5AD8">
        <w:rPr>
          <w:bCs/>
          <w:color w:val="2F5496" w:themeColor="accent5" w:themeShade="BF"/>
        </w:rPr>
        <w:t>ację dawek ultra nisko objętościo</w:t>
      </w:r>
      <w:r w:rsidR="007813F6" w:rsidRPr="002C5AD8">
        <w:rPr>
          <w:bCs/>
          <w:color w:val="2F5496" w:themeColor="accent5" w:themeShade="BF"/>
        </w:rPr>
        <w:t>wych za pomocą 10-ciu</w:t>
      </w:r>
      <w:r w:rsidRPr="002C5AD8">
        <w:rPr>
          <w:bCs/>
          <w:color w:val="2F5496" w:themeColor="accent5" w:themeShade="BF"/>
        </w:rPr>
        <w:t xml:space="preserve"> rozpylaczy rotacyjnych, tzw. atomizeró</w:t>
      </w:r>
      <w:r w:rsidR="00D83F3D" w:rsidRPr="002C5AD8">
        <w:rPr>
          <w:bCs/>
          <w:color w:val="2F5496" w:themeColor="accent5" w:themeShade="BF"/>
        </w:rPr>
        <w:t>w typu Micronair AU-5000 o napę</w:t>
      </w:r>
      <w:r w:rsidRPr="002C5AD8">
        <w:rPr>
          <w:bCs/>
          <w:color w:val="2F5496" w:themeColor="accent5" w:themeShade="BF"/>
        </w:rPr>
        <w:t>dzie mechanicznym</w:t>
      </w:r>
      <w:r w:rsidR="00D83F3D" w:rsidRPr="002C5AD8">
        <w:rPr>
          <w:bCs/>
          <w:color w:val="2F5496" w:themeColor="accent5" w:themeShade="BF"/>
        </w:rPr>
        <w:t xml:space="preserve"> (wiatrako</w:t>
      </w:r>
      <w:r w:rsidRPr="002C5AD8">
        <w:rPr>
          <w:bCs/>
          <w:color w:val="2F5496" w:themeColor="accent5" w:themeShade="BF"/>
        </w:rPr>
        <w:t>wym) (Ryc. 1). Insektycyd będzie wprowadzany w dawce 0</w:t>
      </w:r>
      <w:r w:rsidR="00D83F3D" w:rsidRPr="002C5AD8">
        <w:rPr>
          <w:bCs/>
          <w:color w:val="2F5496" w:themeColor="accent5" w:themeShade="BF"/>
        </w:rPr>
        <w:t>,40 kg/ha -ultra mała dawka pre</w:t>
      </w:r>
      <w:r w:rsidRPr="002C5AD8">
        <w:rPr>
          <w:bCs/>
          <w:color w:val="2F5496" w:themeColor="accent5" w:themeShade="BF"/>
        </w:rPr>
        <w:t xml:space="preserve">paratu zgodnie z jego etykietą zostanie rozcieńczona wodą do objętości 4,0 l/ha oraz uzupełniona adiuwantem Ikar 95 EC do pożądanej objętości dawki cieczy użytkowej wynoszącej 5,0 l/ha. Rolą adiuwantu, którego substancję czynną stanowi olej mineralny z emulgatorem SAE 10/95 - 95%, jest między innymi zwiększenie właściwości wody do tworzenia mgły i poprawienie przyczepności cieczy roboczej do igieł. </w:t>
      </w:r>
    </w:p>
    <w:p w14:paraId="6B5D60D0" w14:textId="77777777" w:rsidR="00552E01" w:rsidRDefault="00DE7576" w:rsidP="007813F6">
      <w:pPr>
        <w:spacing w:after="0"/>
        <w:jc w:val="both"/>
        <w:rPr>
          <w:bCs/>
          <w:color w:val="2F5496" w:themeColor="accent5" w:themeShade="BF"/>
        </w:rPr>
      </w:pPr>
      <w:r w:rsidRPr="002C5AD8">
        <w:rPr>
          <w:bCs/>
          <w:color w:val="2F5496" w:themeColor="accent5" w:themeShade="BF"/>
        </w:rPr>
        <w:t xml:space="preserve">Niewątpliwą zaletą lotniczej aplikacji insektycydu </w:t>
      </w:r>
      <w:r w:rsidR="00D83F3D" w:rsidRPr="002C5AD8">
        <w:rPr>
          <w:bCs/>
          <w:color w:val="2F5496" w:themeColor="accent5" w:themeShade="BF"/>
        </w:rPr>
        <w:t>Mospilan 20 SP techniką ultra nis</w:t>
      </w:r>
      <w:r w:rsidRPr="002C5AD8">
        <w:rPr>
          <w:bCs/>
          <w:color w:val="2F5496" w:themeColor="accent5" w:themeShade="BF"/>
        </w:rPr>
        <w:t>kich dawek objętościowych jest fakt, że we właściwym i relatywnie krótkim terminie do środowiska zostanie wprowadzona minimalna dawka zawartej w nim substancji aktywnej. Pojęcie ULV odnosi się do widma (wielkości) kropel cieczy użytkowej aplikowanej w korony drzew. Atomizery gwarantują w</w:t>
      </w:r>
      <w:r w:rsidR="00D83F3D" w:rsidRPr="002C5AD8">
        <w:rPr>
          <w:bCs/>
          <w:color w:val="2F5496" w:themeColor="accent5" w:themeShade="BF"/>
        </w:rPr>
        <w:t>y</w:t>
      </w:r>
      <w:r w:rsidRPr="002C5AD8">
        <w:rPr>
          <w:bCs/>
          <w:color w:val="2F5496" w:themeColor="accent5" w:themeShade="BF"/>
        </w:rPr>
        <w:t>twarzanie jednorodnych kropli pod względem ich średniej wielkości objętościowej, która</w:t>
      </w:r>
      <w:r w:rsidR="00D83F3D" w:rsidRPr="002C5AD8">
        <w:rPr>
          <w:bCs/>
          <w:color w:val="2F5496" w:themeColor="accent5" w:themeShade="BF"/>
        </w:rPr>
        <w:t xml:space="preserve"> w celu zapewnienia dobrej pene</w:t>
      </w:r>
      <w:r w:rsidRPr="002C5AD8">
        <w:rPr>
          <w:bCs/>
          <w:color w:val="2F5496" w:themeColor="accent5" w:themeShade="BF"/>
        </w:rPr>
        <w:t>tracji koron przez ciecz użytkową, odpowiedniego pokrycia uiglenia i pozostawania większości z niej w koronach opryskiwanych drzewostanów będzie średnio wynosiła około 80 µm. W jednym locie operacyjnym, stosując dawkę 5,0 l/ha cieczy użytkowej, zawierającej  0,40 kg/ha insektycydu Mospilan 20 SP z dodatkiem 1,0 l/ha adiuwantu Ikar 95 EC oraz 4,0 l/ha wody możliwe będzie zamgławienie kilkuset hektarów dziennie.</w:t>
      </w:r>
    </w:p>
    <w:p w14:paraId="7857F416" w14:textId="77777777" w:rsidR="00E434EC" w:rsidRDefault="00E434EC" w:rsidP="007813F6">
      <w:pPr>
        <w:spacing w:after="0"/>
        <w:jc w:val="both"/>
        <w:rPr>
          <w:bCs/>
          <w:color w:val="2F5496" w:themeColor="accent5" w:themeShade="BF"/>
        </w:rPr>
      </w:pPr>
    </w:p>
    <w:p w14:paraId="613BD8D1" w14:textId="77777777" w:rsidR="00E434EC" w:rsidRDefault="002A239C" w:rsidP="007813F6">
      <w:pPr>
        <w:spacing w:after="0"/>
        <w:jc w:val="both"/>
        <w:rPr>
          <w:bCs/>
          <w:color w:val="2F5496" w:themeColor="accent5" w:themeShade="BF"/>
        </w:rPr>
      </w:pPr>
      <w:r>
        <w:rPr>
          <w:bCs/>
          <w:color w:val="2F5496" w:themeColor="accent5" w:themeShade="BF"/>
        </w:rPr>
        <w:t>Przy wykonywaniu zabiegów naziemnych wykorzystywany jest m.in opryskiwacz ODW – 1.</w:t>
      </w:r>
    </w:p>
    <w:p w14:paraId="4FF9A843" w14:textId="77777777" w:rsidR="002A239C" w:rsidRDefault="002A239C" w:rsidP="007813F6">
      <w:pPr>
        <w:spacing w:after="0"/>
        <w:jc w:val="both"/>
        <w:rPr>
          <w:bCs/>
          <w:color w:val="2F5496" w:themeColor="accent5" w:themeShade="BF"/>
        </w:rPr>
      </w:pPr>
    </w:p>
    <w:p w14:paraId="37B8E01E" w14:textId="77777777" w:rsidR="00E434EC" w:rsidRDefault="002A239C" w:rsidP="007813F6">
      <w:pPr>
        <w:spacing w:after="0"/>
        <w:jc w:val="both"/>
        <w:rPr>
          <w:bCs/>
          <w:color w:val="2F5496" w:themeColor="accent5" w:themeShade="BF"/>
        </w:rPr>
      </w:pPr>
      <w:r w:rsidRPr="002A239C">
        <w:rPr>
          <w:bCs/>
          <w:color w:val="2F5496" w:themeColor="accent5" w:themeShade="BF"/>
        </w:rPr>
        <w:t>Opryskiwacz drzew wysokich ODW-1 przeznaczony jest do oprysku drzew wysokich, jednakże z uwagi na swą konstrukcję może być wykorzystywany również do oprysków o dalekim zasięgu (w poziomie), a jego zespoły mogą służyć do tradycyjnych oprysków polowych z wykorzystaniem standardowych opryskiwaczy polowych.</w:t>
      </w:r>
    </w:p>
    <w:p w14:paraId="4A7AA734" w14:textId="77777777" w:rsidR="002A239C" w:rsidRDefault="002A239C" w:rsidP="007813F6">
      <w:pPr>
        <w:spacing w:after="0"/>
        <w:jc w:val="both"/>
        <w:rPr>
          <w:bCs/>
          <w:color w:val="2F5496" w:themeColor="accent5" w:themeShade="BF"/>
        </w:rPr>
      </w:pPr>
    </w:p>
    <w:p w14:paraId="5E6D5A98" w14:textId="77777777" w:rsidR="002A239C" w:rsidRDefault="002A239C" w:rsidP="002A239C">
      <w:pPr>
        <w:rPr>
          <w:bCs/>
          <w:color w:val="2F5496" w:themeColor="accent5" w:themeShade="BF"/>
        </w:rPr>
      </w:pPr>
      <w:r w:rsidRPr="002A239C">
        <w:rPr>
          <w:bCs/>
          <w:color w:val="2F5496" w:themeColor="accent5" w:themeShade="BF"/>
        </w:rPr>
        <w:t>Przy prowadzeniu oprysku drzew wysokich pracować można wprowadzając ciecz roboczą w strumień powietrza przy użyciu tradycyjnych dysz lub dyfuzora z atomizerem. Zastosowane sterowanie hydrauliczne pozwala na bezstopniową regulację kąta odchylenia dyfuzora od pionu w zakresie od ok. 10° do 80°. Regulacja może być prowadzona podczas przejazdu roboczego. Regulacja kąta pochylenia dyfuzora może być prowadzona w sposób ciągły (bez stałego udziału operatora) w pełnym zakresie lub ograniczonym po przestawieniu wyłączników krańcowych. W pełnym wyposażeniu opryskiwacz standardowo zamontowany jest na podwoziu jednoosiowym (opcja – podwozie 2-u osiowe „boogi"). W przypadku konieczności pracy ze standardową belką polową należy zdemontować układ opryskiwacza rolniczego z podwozia i zaczepić go na TUZ ciągnika.</w:t>
      </w:r>
    </w:p>
    <w:p w14:paraId="243957DB" w14:textId="77777777" w:rsidR="002A239C" w:rsidRPr="002A239C" w:rsidRDefault="002A239C" w:rsidP="002A23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A239C">
        <w:rPr>
          <w:rFonts w:eastAsia="Times New Roman" w:cstheme="minorHAnsi"/>
          <w:sz w:val="24"/>
          <w:szCs w:val="24"/>
          <w:lang w:eastAsia="pl-PL"/>
        </w:rPr>
        <w:t>PARAMETRY TECHNICZNE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198"/>
        <w:gridCol w:w="1643"/>
      </w:tblGrid>
      <w:tr w:rsidR="002A239C" w:rsidRPr="002A239C" w14:paraId="50A09FDF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2FD8" w14:textId="77777777" w:rsidR="002A239C" w:rsidRPr="002A239C" w:rsidRDefault="002A239C" w:rsidP="002A239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Masa opryskiwacza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4FA7" w14:textId="77777777" w:rsidR="002A239C" w:rsidRPr="002A239C" w:rsidRDefault="002A239C" w:rsidP="002A23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970 kg</w:t>
            </w:r>
          </w:p>
        </w:tc>
      </w:tr>
      <w:tr w:rsidR="002A239C" w:rsidRPr="002A239C" w14:paraId="35B0D9B7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FE8F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Gabaryty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97E7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pozycja transportowa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5E99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pozycja robocza</w:t>
            </w:r>
          </w:p>
        </w:tc>
      </w:tr>
      <w:tr w:rsidR="002A239C" w:rsidRPr="002A239C" w14:paraId="598F55D3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D1BEB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długość 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4E96E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2,4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BD961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2,4 m</w:t>
            </w:r>
          </w:p>
        </w:tc>
      </w:tr>
      <w:tr w:rsidR="002A239C" w:rsidRPr="002A239C" w14:paraId="11C4E043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5598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szerokość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C8F2C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1,6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D54A4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2,6 m</w:t>
            </w:r>
          </w:p>
        </w:tc>
      </w:tr>
      <w:tr w:rsidR="002A239C" w:rsidRPr="002A239C" w14:paraId="5C3ECC8D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C2529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wysokość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A5FED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3,4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CC42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2,4 m</w:t>
            </w:r>
          </w:p>
        </w:tc>
      </w:tr>
      <w:tr w:rsidR="002A239C" w:rsidRPr="002A239C" w14:paraId="491250CB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2F7C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CA854" w14:textId="77777777" w:rsidR="002A239C" w:rsidRPr="002A239C" w:rsidRDefault="002A239C" w:rsidP="002A23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7,50 – 20 8PR</w:t>
            </w:r>
          </w:p>
        </w:tc>
      </w:tr>
      <w:tr w:rsidR="002A239C" w:rsidRPr="002A239C" w14:paraId="5E9EBA9D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5104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Rozstaw kół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AEC0D" w14:textId="77777777" w:rsidR="002A239C" w:rsidRPr="002A239C" w:rsidRDefault="002A239C" w:rsidP="002A23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1,4 m</w:t>
            </w:r>
          </w:p>
        </w:tc>
      </w:tr>
      <w:tr w:rsidR="002A239C" w:rsidRPr="002A239C" w14:paraId="51B206F4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9F7AC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Prędkość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F44C6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transportowa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17C0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robocza</w:t>
            </w:r>
          </w:p>
        </w:tc>
      </w:tr>
      <w:tr w:rsidR="002A239C" w:rsidRPr="002A239C" w14:paraId="7A7F74DB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8F31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0864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do 15 km/h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CA02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3 – 10 km/h</w:t>
            </w:r>
          </w:p>
        </w:tc>
      </w:tr>
      <w:tr w:rsidR="002A239C" w:rsidRPr="002A239C" w14:paraId="040E4BED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F65D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Zasięg oprysku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0A8E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w pionie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BA8F9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w poziomie</w:t>
            </w:r>
          </w:p>
        </w:tc>
      </w:tr>
      <w:tr w:rsidR="002A239C" w:rsidRPr="002A239C" w14:paraId="1087AAF2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730E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19D27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25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6BC6E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35 m</w:t>
            </w:r>
          </w:p>
        </w:tc>
      </w:tr>
      <w:tr w:rsidR="002A239C" w:rsidRPr="002A239C" w14:paraId="17D72F3C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5B771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Ciągnik współpracujący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465D" w14:textId="77777777" w:rsidR="002A239C" w:rsidRPr="002A239C" w:rsidRDefault="002A239C" w:rsidP="002A23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min 90 KM</w:t>
            </w:r>
          </w:p>
        </w:tc>
      </w:tr>
      <w:tr w:rsidR="002A239C" w:rsidRPr="002A239C" w14:paraId="58533B04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BD548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Obsługa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05BE" w14:textId="77777777" w:rsidR="002A239C" w:rsidRPr="002A239C" w:rsidRDefault="002A239C" w:rsidP="002A23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1 osoba (operator ciągnika)</w:t>
            </w:r>
          </w:p>
        </w:tc>
      </w:tr>
    </w:tbl>
    <w:p w14:paraId="0C0BDF00" w14:textId="77777777" w:rsidR="002A239C" w:rsidRPr="002A239C" w:rsidRDefault="002A239C" w:rsidP="002A23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A239C">
        <w:rPr>
          <w:rFonts w:eastAsia="Times New Roman" w:cstheme="minorHAnsi"/>
          <w:sz w:val="24"/>
          <w:szCs w:val="24"/>
          <w:lang w:eastAsia="pl-PL"/>
        </w:rPr>
        <w:t> </w:t>
      </w:r>
    </w:p>
    <w:p w14:paraId="3E76AE9C" w14:textId="77777777" w:rsidR="002A239C" w:rsidRPr="002A239C" w:rsidRDefault="002A239C" w:rsidP="002A23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A239C">
        <w:rPr>
          <w:rFonts w:eastAsia="Times New Roman" w:cstheme="minorHAnsi"/>
          <w:sz w:val="24"/>
          <w:szCs w:val="24"/>
          <w:lang w:eastAsia="pl-PL"/>
        </w:rPr>
        <w:t>Atomizer</w:t>
      </w:r>
    </w:p>
    <w:p w14:paraId="6A156592" w14:textId="77777777" w:rsidR="002A239C" w:rsidRPr="002A239C" w:rsidRDefault="002A239C" w:rsidP="002A23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A239C">
        <w:rPr>
          <w:rFonts w:eastAsia="Times New Roman" w:cstheme="minorHAnsi"/>
          <w:sz w:val="24"/>
          <w:szCs w:val="24"/>
          <w:lang w:eastAsia="pl-PL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755"/>
      </w:tblGrid>
      <w:tr w:rsidR="002A239C" w:rsidRPr="002A239C" w14:paraId="26F2088F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67624" w14:textId="77777777" w:rsidR="002A239C" w:rsidRPr="002A239C" w:rsidRDefault="002A239C" w:rsidP="002A239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natężenie wypływu cieczy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F36B2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0,2 – 1,2 l/min</w:t>
            </w:r>
          </w:p>
        </w:tc>
      </w:tr>
      <w:tr w:rsidR="002A239C" w:rsidRPr="002A239C" w14:paraId="198EDE7E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F0AC6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średnica kropli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29F1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od 40 do 200 µm</w:t>
            </w:r>
          </w:p>
        </w:tc>
      </w:tr>
    </w:tbl>
    <w:p w14:paraId="18FA3662" w14:textId="77777777" w:rsidR="002A239C" w:rsidRPr="002A239C" w:rsidRDefault="002A239C" w:rsidP="002A23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A239C">
        <w:rPr>
          <w:rFonts w:eastAsia="Times New Roman" w:cstheme="minorHAnsi"/>
          <w:sz w:val="24"/>
          <w:szCs w:val="24"/>
          <w:lang w:eastAsia="pl-PL"/>
        </w:rPr>
        <w:t> </w:t>
      </w:r>
    </w:p>
    <w:p w14:paraId="52050054" w14:textId="77777777" w:rsidR="002A239C" w:rsidRPr="002A239C" w:rsidRDefault="002A239C" w:rsidP="002A23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A239C">
        <w:rPr>
          <w:rFonts w:eastAsia="Times New Roman" w:cstheme="minorHAnsi"/>
          <w:sz w:val="24"/>
          <w:szCs w:val="24"/>
          <w:lang w:eastAsia="pl-PL"/>
        </w:rPr>
        <w:t>Wentylator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488"/>
      </w:tblGrid>
      <w:tr w:rsidR="002A239C" w:rsidRPr="002A239C" w14:paraId="0B9EBEF7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6F3C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obroty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A06AB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1800 obr./min</w:t>
            </w:r>
          </w:p>
        </w:tc>
      </w:tr>
      <w:tr w:rsidR="002A239C" w:rsidRPr="002A239C" w14:paraId="6FC4E1A7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D256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wydatek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0774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10,4 m</w:t>
            </w:r>
            <w:r w:rsidRPr="002A239C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/s</w:t>
            </w:r>
          </w:p>
        </w:tc>
      </w:tr>
      <w:tr w:rsidR="002A239C" w:rsidRPr="002A239C" w14:paraId="09C30887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AEE3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prędkość przepływu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37F9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53 m/s</w:t>
            </w:r>
          </w:p>
        </w:tc>
      </w:tr>
      <w:tr w:rsidR="002A239C" w:rsidRPr="002A239C" w14:paraId="574C0839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D7F2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ciśnienie całkowite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B1B87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1700 Pa</w:t>
            </w:r>
          </w:p>
        </w:tc>
      </w:tr>
      <w:tr w:rsidR="002A239C" w:rsidRPr="002A239C" w14:paraId="7F8B315A" w14:textId="77777777" w:rsidTr="002A23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480E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zakres pracy wentylatora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F04A" w14:textId="77777777" w:rsidR="002A239C" w:rsidRPr="002A239C" w:rsidRDefault="002A239C" w:rsidP="002A23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A239C">
              <w:rPr>
                <w:rFonts w:eastAsia="Times New Roman" w:cstheme="minorHAnsi"/>
                <w:sz w:val="24"/>
                <w:szCs w:val="24"/>
                <w:lang w:eastAsia="pl-PL"/>
              </w:rPr>
              <w:t> 9° – 82°</w:t>
            </w:r>
          </w:p>
        </w:tc>
      </w:tr>
    </w:tbl>
    <w:p w14:paraId="19F14E2C" w14:textId="77777777" w:rsidR="002A239C" w:rsidRPr="002A239C" w:rsidRDefault="002A239C" w:rsidP="002A239C">
      <w:pPr>
        <w:rPr>
          <w:rFonts w:cstheme="minorHAnsi"/>
          <w:bCs/>
          <w:color w:val="2F5496" w:themeColor="accent5" w:themeShade="BF"/>
        </w:rPr>
        <w:sectPr w:rsidR="002A239C" w:rsidRPr="002A239C" w:rsidSect="005D1758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5950A6DB" w14:textId="77777777" w:rsidR="00F37C0C" w:rsidRPr="00962C48" w:rsidRDefault="00F37C0C" w:rsidP="002A239C">
      <w:pPr>
        <w:pStyle w:val="Default"/>
        <w:rPr>
          <w:rStyle w:val="Pogrubienie"/>
          <w:rFonts w:asciiTheme="minorHAnsi" w:hAnsiTheme="minorHAnsi"/>
          <w:color w:val="2F5496" w:themeColor="accent5" w:themeShade="BF"/>
        </w:rPr>
      </w:pPr>
      <w:r w:rsidRPr="002A239C">
        <w:rPr>
          <w:rStyle w:val="Pogrubienie"/>
          <w:rFonts w:asciiTheme="minorHAnsi" w:hAnsiTheme="minorHAnsi"/>
          <w:color w:val="2F5496" w:themeColor="accent5" w:themeShade="BF"/>
        </w:rPr>
        <w:lastRenderedPageBreak/>
        <w:t>C</w:t>
      </w:r>
      <w:r w:rsidRPr="00962C48">
        <w:rPr>
          <w:rStyle w:val="Pogrubienie"/>
          <w:rFonts w:asciiTheme="minorHAnsi" w:hAnsiTheme="minorHAnsi"/>
          <w:color w:val="2F5496" w:themeColor="accent5" w:themeShade="BF"/>
        </w:rPr>
        <w:t>zęść II</w:t>
      </w:r>
    </w:p>
    <w:p w14:paraId="061DF43B" w14:textId="77777777" w:rsidR="007029E2" w:rsidRPr="00962C48" w:rsidRDefault="00F37C0C" w:rsidP="00F37C0C">
      <w:pPr>
        <w:jc w:val="both"/>
        <w:rPr>
          <w:b/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t>Minimalny wykaz zagrożeń, elementów i zmiennych, które należy uwzględnić w ocenie ryzyka środowiskowego i społecznego.</w:t>
      </w:r>
    </w:p>
    <w:p w14:paraId="462F38A6" w14:textId="77777777" w:rsidR="00F37C0C" w:rsidRPr="00962C48" w:rsidRDefault="00F37C0C" w:rsidP="00F37C0C">
      <w:pPr>
        <w:pStyle w:val="Akapitzlist"/>
        <w:numPr>
          <w:ilvl w:val="0"/>
          <w:numId w:val="1"/>
        </w:numPr>
        <w:jc w:val="both"/>
        <w:rPr>
          <w:b/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t xml:space="preserve">Identyfikacja zagrożeń </w:t>
      </w:r>
      <w:r w:rsidR="00AC47D7" w:rsidRPr="00962C48">
        <w:rPr>
          <w:b/>
          <w:bCs/>
          <w:color w:val="2F5496" w:themeColor="accent5" w:themeShade="BF"/>
        </w:rPr>
        <w:t>(str. 39)</w:t>
      </w:r>
    </w:p>
    <w:p w14:paraId="1C9D2182" w14:textId="77777777" w:rsidR="00AC47D7" w:rsidRPr="00962C48" w:rsidRDefault="00F37C0C" w:rsidP="00AC47D7">
      <w:pPr>
        <w:pStyle w:val="Akapitzlist"/>
        <w:jc w:val="both"/>
        <w:rPr>
          <w:b/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t xml:space="preserve">Identyfikacja zagrożeń została określana </w:t>
      </w:r>
      <w:r w:rsidR="00AC47D7" w:rsidRPr="00962C48">
        <w:rPr>
          <w:b/>
          <w:bCs/>
          <w:color w:val="2F5496" w:themeColor="accent5" w:themeShade="BF"/>
        </w:rPr>
        <w:t>w Wykazie wysoce niebezpiecznych pestycydów według FSC</w:t>
      </w:r>
    </w:p>
    <w:p w14:paraId="531B2C9A" w14:textId="77777777" w:rsidR="00F37C0C" w:rsidRPr="00962C48" w:rsidRDefault="00AC47D7" w:rsidP="00AC47D7">
      <w:pPr>
        <w:pStyle w:val="Akapitzlist"/>
        <w:jc w:val="both"/>
        <w:rPr>
          <w:b/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t>FSC-POL-30-001a EN, 1 maja 2019 r. (str. 13).</w:t>
      </w:r>
      <w:r w:rsidR="00F37C0C" w:rsidRPr="00962C48">
        <w:rPr>
          <w:b/>
          <w:bCs/>
          <w:color w:val="2F5496" w:themeColor="accent5" w:themeShade="BF"/>
        </w:rPr>
        <w:t xml:space="preserve"> </w:t>
      </w:r>
    </w:p>
    <w:tbl>
      <w:tblPr>
        <w:tblW w:w="155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7"/>
        <w:gridCol w:w="712"/>
        <w:gridCol w:w="576"/>
        <w:gridCol w:w="576"/>
        <w:gridCol w:w="567"/>
        <w:gridCol w:w="687"/>
        <w:gridCol w:w="562"/>
        <w:gridCol w:w="707"/>
        <w:gridCol w:w="708"/>
        <w:gridCol w:w="708"/>
        <w:gridCol w:w="708"/>
        <w:gridCol w:w="708"/>
        <w:gridCol w:w="708"/>
        <w:gridCol w:w="708"/>
        <w:gridCol w:w="783"/>
        <w:gridCol w:w="783"/>
        <w:gridCol w:w="425"/>
        <w:gridCol w:w="474"/>
      </w:tblGrid>
      <w:tr w:rsidR="00962C48" w:rsidRPr="00962C48" w14:paraId="4E5F2145" w14:textId="77777777" w:rsidTr="003B4A5B">
        <w:trPr>
          <w:trHeight w:val="750"/>
          <w:tblHeader/>
        </w:trPr>
        <w:tc>
          <w:tcPr>
            <w:tcW w:w="440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AE882" w14:textId="77777777" w:rsidR="007029E2" w:rsidRPr="00962C48" w:rsidRDefault="007029E2" w:rsidP="00F37C0C">
            <w:pPr>
              <w:jc w:val="center"/>
              <w:rPr>
                <w:b/>
                <w:bCs/>
                <w:color w:val="2F5496" w:themeColor="accent5" w:themeShade="BF"/>
              </w:rPr>
            </w:pPr>
          </w:p>
          <w:p w14:paraId="7006B7E3" w14:textId="77777777" w:rsidR="007029E2" w:rsidRPr="00962C4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2F5496" w:themeColor="accent5" w:themeShade="BF"/>
              </w:rPr>
            </w:pPr>
            <w:r w:rsidRPr="00962C48">
              <w:rPr>
                <w:b/>
                <w:bCs/>
                <w:color w:val="2F5496" w:themeColor="accent5" w:themeShade="BF"/>
              </w:rPr>
              <w:t>WYKAZ WNP OBJĘTYCH ŚCISŁYMI OGRANICZENIAMI PRZEZ FSC</w:t>
            </w:r>
          </w:p>
          <w:p w14:paraId="4CC9788C" w14:textId="77777777" w:rsidR="007029E2" w:rsidRPr="00962C48" w:rsidRDefault="007029E2" w:rsidP="00F37C0C">
            <w:pPr>
              <w:jc w:val="center"/>
              <w:rPr>
                <w:rFonts w:eastAsia="Times New Roman" w:cs="Calibri"/>
                <w:bCs/>
                <w:color w:val="2F5496" w:themeColor="accent5" w:themeShade="BF"/>
              </w:rPr>
            </w:pPr>
            <w:r w:rsidRPr="00962C48">
              <w:rPr>
                <w:bCs/>
                <w:color w:val="2F5496" w:themeColor="accent5" w:themeShade="BF"/>
              </w:rPr>
              <w:t>120 pestycydów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28114" w14:textId="77777777" w:rsidR="007029E2" w:rsidRPr="00962C4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KONWENCJE MIĘDZYNARODOWE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CFB4"/>
            <w:vAlign w:val="center"/>
            <w:hideMark/>
          </w:tcPr>
          <w:p w14:paraId="0EBEBD87" w14:textId="77777777" w:rsidR="007029E2" w:rsidRPr="00962C4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TOKSYCZNOŚĆ OSTRA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88FB4"/>
            <w:vAlign w:val="center"/>
            <w:hideMark/>
          </w:tcPr>
          <w:p w14:paraId="46798EAD" w14:textId="77777777" w:rsidR="007029E2" w:rsidRPr="00962C4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TOKSYCZNOŚĆ PRZEWLEKŁA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BE2B"/>
            <w:vAlign w:val="center"/>
            <w:hideMark/>
          </w:tcPr>
          <w:p w14:paraId="40636A40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2F5496" w:themeColor="accent5" w:themeShade="BF"/>
                <w:sz w:val="19"/>
                <w:szCs w:val="19"/>
              </w:rPr>
            </w:pPr>
            <w:r w:rsidRPr="00962C48">
              <w:rPr>
                <w:b/>
                <w:bCs/>
                <w:color w:val="2F5496" w:themeColor="accent5" w:themeShade="BF"/>
                <w:sz w:val="19"/>
                <w:szCs w:val="19"/>
              </w:rPr>
              <w:t>TOKSYCZNOŚĆ DLA ŚRODOWISKA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E634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8"/>
                <w:szCs w:val="18"/>
              </w:rPr>
              <w:t>DIOKSYNY I METALE CIĘŻKIE</w:t>
            </w:r>
          </w:p>
        </w:tc>
      </w:tr>
      <w:tr w:rsidR="00962C48" w:rsidRPr="00962C48" w14:paraId="7A82FA27" w14:textId="77777777" w:rsidTr="00274385">
        <w:trPr>
          <w:trHeight w:val="258"/>
          <w:tblHeader/>
        </w:trPr>
        <w:tc>
          <w:tcPr>
            <w:tcW w:w="44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3FBD" w14:textId="77777777" w:rsidR="007029E2" w:rsidRPr="00962C48" w:rsidRDefault="007029E2" w:rsidP="00F37C0C">
            <w:pPr>
              <w:ind w:left="-57" w:right="-57"/>
              <w:rPr>
                <w:rFonts w:eastAsia="Times New Roman" w:cs="Calibri"/>
                <w:b/>
                <w:bCs/>
                <w:color w:val="2F5496" w:themeColor="accent5" w:themeShade="BF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102C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1.1.a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5202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1.1.b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F164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1.1.c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65C65AEC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2.1.a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059B0886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2.1.b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27A2A8AA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2.1.c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262D4D23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3.1.a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32F50737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3.1.b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7D22981A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3.1.c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33321675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4.1.a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23944778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5.1.a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0A868C95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6.1.a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66CBD644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16"/>
                <w:szCs w:val="16"/>
              </w:rPr>
              <w:t>6.1.b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34E7DA00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3DA31009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0189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D8F" w14:textId="77777777" w:rsidR="007029E2" w:rsidRPr="00962C4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bCs/>
                <w:color w:val="2F5496" w:themeColor="accent5" w:themeShade="BF"/>
                <w:sz w:val="20"/>
                <w:szCs w:val="20"/>
              </w:rPr>
              <w:t>10</w:t>
            </w:r>
          </w:p>
        </w:tc>
      </w:tr>
      <w:tr w:rsidR="00962C48" w:rsidRPr="00962C48" w14:paraId="4A3218C9" w14:textId="77777777" w:rsidTr="00274385">
        <w:trPr>
          <w:trHeight w:val="210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6E4" w14:textId="77777777" w:rsidR="007029E2" w:rsidRPr="00962C48" w:rsidRDefault="007029E2" w:rsidP="00F37C0C">
            <w:pPr>
              <w:rPr>
                <w:rFonts w:eastAsia="Times New Roman" w:cs="Calibri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962C48">
              <w:rPr>
                <w:b/>
                <w:bCs/>
                <w:color w:val="2F5496" w:themeColor="accent5" w:themeShade="BF"/>
                <w:sz w:val="28"/>
                <w:szCs w:val="28"/>
              </w:rPr>
              <w:t>Lp.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71E3" w14:textId="77777777" w:rsidR="007029E2" w:rsidRPr="00962C4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962C48">
              <w:rPr>
                <w:b/>
                <w:bCs/>
                <w:color w:val="2F5496" w:themeColor="accent5" w:themeShade="BF"/>
                <w:sz w:val="28"/>
                <w:szCs w:val="28"/>
              </w:rPr>
              <w:t>Nr CAS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8C4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962C48">
              <w:rPr>
                <w:b/>
                <w:bCs/>
                <w:color w:val="2F5496" w:themeColor="accent5" w:themeShade="BF"/>
                <w:sz w:val="28"/>
                <w:szCs w:val="28"/>
              </w:rPr>
              <w:t>Substancja czynna pestycydu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2BBCA0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Sztokholmska (POP)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03385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Rotterdamska (PIC)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556A6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Montrealska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7D09F644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4"/>
                <w:szCs w:val="14"/>
              </w:rPr>
              <w:t>Skrajnie lub wysoce niebezpieczne (Ia oraz Ib, WHO)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hideMark/>
          </w:tcPr>
          <w:p w14:paraId="0239985A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Toksyczność ostra u ssaków i ptaków LD50&lt; 200mg/kg masy ciała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76965BBB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Wdychanie grozi śmiercią (H330) (GHS)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014A0721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Rakotwórczy lub prawdopodobnie rakotwórczy (1 i 2A) (IARC)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100040A7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Rakotwórczy lub prawdopodobnie rakotwórczy (US EPA)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74BCFAF7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Rakotwórczy lub prawdop. rakotwórczy (1A i 1B, 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10F4D932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Substancja mutagenna lub prawdopodobnie mutagenna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1C3D0DFC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14"/>
                <w:szCs w:val="14"/>
              </w:rPr>
            </w:pPr>
            <w:r w:rsidRPr="00962C48">
              <w:rPr>
                <w:color w:val="2F5496" w:themeColor="accent5" w:themeShade="BF"/>
                <w:sz w:val="14"/>
                <w:szCs w:val="14"/>
              </w:rPr>
              <w:t>Substancja toksyczna wpływająca i prawdop. wpływająca na rozrodczość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6D4E4693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Kategoria 1 (EDC EU)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hideMark/>
          </w:tcPr>
          <w:p w14:paraId="6EF660EC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12"/>
                <w:szCs w:val="12"/>
              </w:rPr>
            </w:pPr>
            <w:r w:rsidRPr="00962C48">
              <w:rPr>
                <w:color w:val="2F5496" w:themeColor="accent5" w:themeShade="BF"/>
                <w:sz w:val="12"/>
                <w:szCs w:val="12"/>
              </w:rPr>
              <w:t>Substancja podejrzewana o rakotwórczość (Kat. 2, GHS) i substancja uszkadzająca układ hormonalny (Kat. 2, GHS)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7CF130BF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Toksyczność dla organizmów wodnych (LC/EC 50 &lt;50 µg/l)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4BE808B2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Toksyczność dla środowiska (trwała; bioakumulacja; ługowanie)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A27181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Dioksyna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9175D" w14:textId="77777777" w:rsidR="007029E2" w:rsidRPr="00962C4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16"/>
                <w:szCs w:val="16"/>
              </w:rPr>
              <w:t>Metal ciężki</w:t>
            </w:r>
          </w:p>
        </w:tc>
      </w:tr>
      <w:tr w:rsidR="00DE7576" w:rsidRPr="00962C48" w14:paraId="335ABC30" w14:textId="77777777" w:rsidTr="00274385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B43A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13C7" w14:textId="77777777" w:rsidR="00DE7576" w:rsidRPr="002E13E7" w:rsidRDefault="00DE7576" w:rsidP="00DE757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135410-20-7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72C4" w14:textId="77777777" w:rsidR="00DE7576" w:rsidRPr="00962C48" w:rsidRDefault="00261BFD" w:rsidP="00DE7576">
            <w:pPr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A</w:t>
            </w:r>
            <w:r w:rsidR="00B9537C">
              <w:rPr>
                <w:color w:val="2F5496" w:themeColor="accent5" w:themeShade="BF"/>
                <w:sz w:val="20"/>
                <w:szCs w:val="20"/>
              </w:rPr>
              <w:t>cetamipryd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88E5" w14:textId="77777777" w:rsidR="00DE7576" w:rsidRPr="00962C48" w:rsidRDefault="00DE7576" w:rsidP="00DE7576">
            <w:pPr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8A31" w14:textId="77777777" w:rsidR="00DE7576" w:rsidRPr="00962C48" w:rsidRDefault="00DE7576" w:rsidP="00DE7576">
            <w:pPr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AD7" w14:textId="77777777" w:rsidR="00DE7576" w:rsidRPr="00962C48" w:rsidRDefault="00DE7576" w:rsidP="00DE7576">
            <w:pPr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411E170F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30C2A" w:rsidRPr="00030C2A" w14:paraId="2B474AB0" w14:textId="77777777">
              <w:trPr>
                <w:trHeight w:val="99"/>
              </w:trPr>
              <w:tc>
                <w:tcPr>
                  <w:tcW w:w="216" w:type="dxa"/>
                </w:tcPr>
                <w:p w14:paraId="3A6762D5" w14:textId="77777777" w:rsidR="00030C2A" w:rsidRPr="00030C2A" w:rsidRDefault="00030C2A" w:rsidP="00030C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30C2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9091C73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1D9551CE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04700024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57C21050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4AF89F7C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3F0B2A65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2A663012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2D4EF20A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48A838C2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hideMark/>
          </w:tcPr>
          <w:p w14:paraId="78963D1F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36B3B584" w14:textId="77777777" w:rsidR="00DE7576" w:rsidRPr="00962C48" w:rsidRDefault="00DE7576" w:rsidP="00DE7576">
            <w:pPr>
              <w:jc w:val="center"/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481F" w14:textId="77777777" w:rsidR="00DE7576" w:rsidRPr="00962C48" w:rsidRDefault="00DE7576" w:rsidP="00DE7576">
            <w:pPr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8574" w14:textId="77777777" w:rsidR="00DE7576" w:rsidRPr="00962C48" w:rsidRDefault="00DE7576" w:rsidP="00DE7576">
            <w:pPr>
              <w:rPr>
                <w:rFonts w:eastAsia="Times New Roman" w:cs="Calibri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  <w:sz w:val="20"/>
                <w:szCs w:val="20"/>
              </w:rPr>
              <w:t> </w:t>
            </w:r>
          </w:p>
        </w:tc>
      </w:tr>
    </w:tbl>
    <w:p w14:paraId="3AF23975" w14:textId="77777777" w:rsidR="00F37C0C" w:rsidRPr="00962C48" w:rsidRDefault="00F37C0C" w:rsidP="00F37C0C">
      <w:pPr>
        <w:pStyle w:val="Default"/>
        <w:rPr>
          <w:rFonts w:asciiTheme="minorHAnsi" w:hAnsiTheme="minorHAnsi"/>
          <w:color w:val="2F5496" w:themeColor="accent5" w:themeShade="BF"/>
        </w:rPr>
      </w:pPr>
    </w:p>
    <w:p w14:paraId="799303EF" w14:textId="77777777" w:rsidR="00F37C0C" w:rsidRPr="00962C48" w:rsidRDefault="00F37C0C" w:rsidP="00AC47D7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Charakteryzacja ekspozycji </w:t>
      </w:r>
      <w:r w:rsidR="00AC47D7"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(str. 39)</w:t>
      </w:r>
    </w:p>
    <w:p w14:paraId="180ADE24" w14:textId="77777777" w:rsidR="00AC47D7" w:rsidRPr="00962C48" w:rsidRDefault="00AC47D7" w:rsidP="00AC47D7">
      <w:pPr>
        <w:pStyle w:val="Default"/>
        <w:ind w:left="720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Charakteryzacja ekspozycji został określona na podstawie Szablon ORŚIS</w:t>
      </w:r>
      <w:r w:rsidR="003B4A5B"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(str. 43). Elementy ekspo</w:t>
      </w:r>
      <w:r w:rsidR="00AB3441"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zycji zostały zawarte pod tabelą</w:t>
      </w:r>
      <w:r w:rsidR="003B4A5B"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w celu wykorz</w:t>
      </w:r>
      <w:r w:rsidR="00AB3441" w:rsidRPr="00962C48"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ystania jeśli mają zastosowanie.</w:t>
      </w:r>
    </w:p>
    <w:p w14:paraId="73F8B75C" w14:textId="77777777" w:rsidR="005D1758" w:rsidRPr="00962C48" w:rsidRDefault="005D1758" w:rsidP="00DD625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F5496" w:themeColor="accent5" w:themeShade="BF"/>
        </w:rPr>
      </w:pPr>
    </w:p>
    <w:p w14:paraId="279F2BAD" w14:textId="77777777" w:rsidR="00DD625D" w:rsidRPr="00962C48" w:rsidRDefault="00DD625D" w:rsidP="00DD625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F5496" w:themeColor="accent5" w:themeShade="BF"/>
        </w:rPr>
      </w:pPr>
      <w:r w:rsidRPr="00962C48">
        <w:rPr>
          <w:rFonts w:cs="Arial"/>
          <w:b/>
          <w:bCs/>
          <w:color w:val="2F5496" w:themeColor="accent5" w:themeShade="BF"/>
        </w:rPr>
        <w:t xml:space="preserve">Szablon ORŚIS </w:t>
      </w:r>
    </w:p>
    <w:tbl>
      <w:tblPr>
        <w:tblW w:w="139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127"/>
        <w:gridCol w:w="5103"/>
        <w:gridCol w:w="4961"/>
      </w:tblGrid>
      <w:tr w:rsidR="00962C48" w:rsidRPr="00962C48" w14:paraId="695990A6" w14:textId="77777777" w:rsidTr="00DD625D">
        <w:trPr>
          <w:trHeight w:val="91"/>
        </w:trPr>
        <w:tc>
          <w:tcPr>
            <w:tcW w:w="13995" w:type="dxa"/>
            <w:gridSpan w:val="4"/>
          </w:tcPr>
          <w:p w14:paraId="205B4B04" w14:textId="77777777" w:rsidR="00DD625D" w:rsidRPr="00962C48" w:rsidRDefault="00DD625D" w:rsidP="00CD7B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2F5496" w:themeColor="accent5" w:themeShade="BF"/>
              </w:rPr>
            </w:pPr>
            <w:r w:rsidRPr="00962C48">
              <w:rPr>
                <w:rFonts w:cs="Arial"/>
                <w:b/>
                <w:bCs/>
                <w:color w:val="2F5496" w:themeColor="accent5" w:themeShade="BF"/>
              </w:rPr>
              <w:t xml:space="preserve">Data: rok </w:t>
            </w:r>
            <w:r w:rsidR="0057496C">
              <w:rPr>
                <w:rFonts w:cs="Arial"/>
                <w:b/>
                <w:bCs/>
                <w:color w:val="2F5496" w:themeColor="accent5" w:themeShade="BF"/>
              </w:rPr>
              <w:t>2020-</w:t>
            </w:r>
            <w:r w:rsidRPr="00962C48">
              <w:rPr>
                <w:rFonts w:cs="Arial"/>
                <w:b/>
                <w:bCs/>
                <w:color w:val="2F5496" w:themeColor="accent5" w:themeShade="BF"/>
              </w:rPr>
              <w:t>20</w:t>
            </w:r>
            <w:r w:rsidR="00CD7B6B">
              <w:rPr>
                <w:rFonts w:cs="Arial"/>
                <w:b/>
                <w:bCs/>
                <w:color w:val="2F5496" w:themeColor="accent5" w:themeShade="BF"/>
              </w:rPr>
              <w:t>21</w:t>
            </w:r>
          </w:p>
        </w:tc>
      </w:tr>
      <w:tr w:rsidR="00962C48" w:rsidRPr="00962C48" w14:paraId="59582FDA" w14:textId="77777777" w:rsidTr="00DD625D">
        <w:trPr>
          <w:trHeight w:val="91"/>
        </w:trPr>
        <w:tc>
          <w:tcPr>
            <w:tcW w:w="13995" w:type="dxa"/>
            <w:gridSpan w:val="4"/>
          </w:tcPr>
          <w:p w14:paraId="2C0F12FD" w14:textId="77777777" w:rsidR="00DD625D" w:rsidRPr="00962C4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2F5496" w:themeColor="accent5" w:themeShade="BF"/>
              </w:rPr>
            </w:pPr>
            <w:r w:rsidRPr="00962C48">
              <w:rPr>
                <w:rFonts w:cs="Arial"/>
                <w:b/>
                <w:bCs/>
                <w:color w:val="2F5496" w:themeColor="accent5" w:themeShade="BF"/>
              </w:rPr>
              <w:t>Kraj: Polska</w:t>
            </w:r>
          </w:p>
        </w:tc>
      </w:tr>
      <w:tr w:rsidR="00962C48" w:rsidRPr="00962C48" w14:paraId="1430C223" w14:textId="77777777" w:rsidTr="005B1D4A">
        <w:trPr>
          <w:trHeight w:val="1437"/>
        </w:trPr>
        <w:tc>
          <w:tcPr>
            <w:tcW w:w="1804" w:type="dxa"/>
          </w:tcPr>
          <w:p w14:paraId="2730A406" w14:textId="77777777" w:rsidR="00DD625D" w:rsidRPr="00962C4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F5496" w:themeColor="accent5" w:themeShade="BF"/>
              </w:rPr>
            </w:pPr>
            <w:r w:rsidRPr="00962C48">
              <w:rPr>
                <w:rFonts w:cs="Arial"/>
                <w:b/>
                <w:bCs/>
                <w:color w:val="2F5496" w:themeColor="accent5" w:themeShade="BF"/>
              </w:rPr>
              <w:t xml:space="preserve">Proponowany pestycyd syntetyczny </w:t>
            </w:r>
          </w:p>
        </w:tc>
        <w:tc>
          <w:tcPr>
            <w:tcW w:w="2127" w:type="dxa"/>
          </w:tcPr>
          <w:p w14:paraId="10114E41" w14:textId="77777777" w:rsidR="00B9537C" w:rsidRPr="00B9537C" w:rsidRDefault="00B9537C" w:rsidP="00B9537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2F5496" w:themeColor="accent5" w:themeShade="BF"/>
              </w:rPr>
            </w:pPr>
            <w:r w:rsidRPr="00B9537C">
              <w:rPr>
                <w:rFonts w:cs="Arial"/>
                <w:b/>
                <w:bCs/>
                <w:color w:val="2F5496" w:themeColor="accent5" w:themeShade="BF"/>
              </w:rPr>
              <w:t>acetamipryd</w:t>
            </w:r>
          </w:p>
          <w:p w14:paraId="02F3BF73" w14:textId="77777777" w:rsidR="005B1D4A" w:rsidRPr="00962C48" w:rsidRDefault="00B9537C" w:rsidP="00B9537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2F5496" w:themeColor="accent5" w:themeShade="BF"/>
              </w:rPr>
            </w:pPr>
            <w:r w:rsidRPr="00B9537C">
              <w:rPr>
                <w:rFonts w:cs="Arial"/>
                <w:b/>
                <w:bCs/>
                <w:color w:val="2F5496" w:themeColor="accent5" w:themeShade="BF"/>
              </w:rPr>
              <w:t>(związek z grupy pochodnych neonikotynoidów)-20%</w:t>
            </w:r>
          </w:p>
        </w:tc>
        <w:tc>
          <w:tcPr>
            <w:tcW w:w="5103" w:type="dxa"/>
          </w:tcPr>
          <w:p w14:paraId="5C045C38" w14:textId="77777777" w:rsidR="00DD625D" w:rsidRPr="00962C4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F5496" w:themeColor="accent5" w:themeShade="BF"/>
              </w:rPr>
            </w:pPr>
            <w:r w:rsidRPr="00962C48">
              <w:rPr>
                <w:rFonts w:cs="Arial"/>
                <w:b/>
                <w:bCs/>
                <w:color w:val="2F5496" w:themeColor="accent5" w:themeShade="BF"/>
              </w:rPr>
              <w:t xml:space="preserve">Cel stosowania </w:t>
            </w:r>
          </w:p>
          <w:p w14:paraId="2E52A817" w14:textId="77777777" w:rsidR="00DD625D" w:rsidRPr="00962C48" w:rsidRDefault="00B9537C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F5496" w:themeColor="accent5" w:themeShade="BF"/>
              </w:rPr>
            </w:pPr>
            <w:r w:rsidRPr="00B9537C">
              <w:rPr>
                <w:rFonts w:cs="Arial"/>
                <w:b/>
                <w:bCs/>
                <w:color w:val="2F5496" w:themeColor="accent5" w:themeShade="BF"/>
              </w:rPr>
              <w:t>Ograniczenie nadmiernej liczebności populacji chrabąszcza majowego (Melolontha melolontha L.) i chrabąszcza kasztanowca (Melolontha hippocastani F.) w stadium owada doskonałego.</w:t>
            </w:r>
          </w:p>
        </w:tc>
        <w:tc>
          <w:tcPr>
            <w:tcW w:w="4961" w:type="dxa"/>
          </w:tcPr>
          <w:p w14:paraId="3407395F" w14:textId="77777777" w:rsidR="00DD625D" w:rsidRPr="00B9537C" w:rsidRDefault="00B9537C" w:rsidP="00B9537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F5496" w:themeColor="accent5" w:themeShade="BF"/>
              </w:rPr>
            </w:pPr>
            <w:r w:rsidRPr="00B9537C">
              <w:rPr>
                <w:rFonts w:cs="Arial"/>
                <w:color w:val="2F5496" w:themeColor="accent5" w:themeShade="BF"/>
              </w:rPr>
              <w:t>Istotne  rozrzedzenie l</w:t>
            </w:r>
            <w:r>
              <w:rPr>
                <w:rFonts w:cs="Arial"/>
                <w:color w:val="2F5496" w:themeColor="accent5" w:themeShade="BF"/>
              </w:rPr>
              <w:t xml:space="preserve">iczebności przyszłych pędraków </w:t>
            </w:r>
            <w:r w:rsidRPr="00B9537C">
              <w:rPr>
                <w:rFonts w:cs="Arial"/>
                <w:color w:val="2F5496" w:themeColor="accent5" w:themeShade="BF"/>
              </w:rPr>
              <w:t>w drzewostanach silnie zapędraczonych.</w:t>
            </w:r>
          </w:p>
        </w:tc>
      </w:tr>
    </w:tbl>
    <w:p w14:paraId="2D947D47" w14:textId="77777777" w:rsidR="00DD625D" w:rsidRPr="00962C48" w:rsidRDefault="00DD625D" w:rsidP="00DD625D">
      <w:pPr>
        <w:rPr>
          <w:b/>
          <w:bCs/>
          <w:color w:val="2F5496" w:themeColor="accent5" w:themeShade="BF"/>
        </w:rPr>
      </w:pPr>
    </w:p>
    <w:p w14:paraId="3496C7FD" w14:textId="77777777" w:rsidR="005D1758" w:rsidRPr="00962C48" w:rsidRDefault="005D1758" w:rsidP="00552E01">
      <w:pPr>
        <w:jc w:val="both"/>
        <w:rPr>
          <w:b/>
          <w:bCs/>
          <w:color w:val="2F5496" w:themeColor="accent5" w:themeShade="BF"/>
        </w:rPr>
      </w:pPr>
    </w:p>
    <w:p w14:paraId="1782FB6C" w14:textId="77777777" w:rsidR="00552E01" w:rsidRPr="00962C48" w:rsidRDefault="00552E01" w:rsidP="00552E01">
      <w:pPr>
        <w:jc w:val="both"/>
        <w:rPr>
          <w:rFonts w:cs="Arial"/>
          <w:b/>
          <w:bCs/>
          <w:color w:val="2F5496" w:themeColor="accent5" w:themeShade="BF"/>
        </w:rPr>
      </w:pPr>
      <w:r w:rsidRPr="00962C48">
        <w:rPr>
          <w:b/>
          <w:bCs/>
          <w:color w:val="2F5496" w:themeColor="accent5" w:themeShade="BF"/>
        </w:rPr>
        <w:t>Identyfikacja i ocena ryzyka, które jest funkcją toksyczności i narażenia oraz strategie ograniczania ryzyka w celu jego minimalizacji</w:t>
      </w:r>
    </w:p>
    <w:tbl>
      <w:tblPr>
        <w:tblStyle w:val="Tabela-Siatka"/>
        <w:tblW w:w="1402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48"/>
        <w:gridCol w:w="4792"/>
        <w:gridCol w:w="4678"/>
      </w:tblGrid>
      <w:tr w:rsidR="00962C48" w:rsidRPr="00962C48" w14:paraId="1271D126" w14:textId="77777777" w:rsidTr="00CC29B1">
        <w:trPr>
          <w:trHeight w:val="43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16F40ECA" w14:textId="77777777" w:rsidR="00C740FA" w:rsidRPr="00962C48" w:rsidRDefault="00C740FA" w:rsidP="00C37558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color w:val="2F5496" w:themeColor="accent5" w:themeShade="BF"/>
                <w:sz w:val="20"/>
                <w:szCs w:val="20"/>
              </w:rPr>
              <w:t xml:space="preserve">Elementy </w:t>
            </w:r>
            <w:r w:rsidR="00C37558" w:rsidRPr="00962C48">
              <w:rPr>
                <w:b/>
                <w:color w:val="2F5496" w:themeColor="accent5" w:themeShade="BF"/>
                <w:sz w:val="20"/>
                <w:szCs w:val="20"/>
              </w:rPr>
              <w:t>ekspozycji</w:t>
            </w:r>
          </w:p>
        </w:tc>
        <w:tc>
          <w:tcPr>
            <w:tcW w:w="3148" w:type="dxa"/>
            <w:vMerge w:val="restart"/>
            <w:shd w:val="clear" w:color="auto" w:fill="488FB4"/>
            <w:vAlign w:val="center"/>
          </w:tcPr>
          <w:p w14:paraId="2BE829D6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color w:val="2F5496" w:themeColor="accent5" w:themeShade="BF"/>
                <w:sz w:val="20"/>
                <w:szCs w:val="20"/>
              </w:rPr>
              <w:t>Minimalny wykaz wartości</w:t>
            </w:r>
          </w:p>
        </w:tc>
        <w:tc>
          <w:tcPr>
            <w:tcW w:w="4792" w:type="dxa"/>
            <w:vMerge w:val="restart"/>
            <w:shd w:val="clear" w:color="auto" w:fill="F4B083" w:themeFill="accent2" w:themeFillTint="99"/>
            <w:vAlign w:val="center"/>
          </w:tcPr>
          <w:p w14:paraId="0499B10A" w14:textId="77777777" w:rsidR="00C740FA" w:rsidRPr="00962C48" w:rsidRDefault="00C740FA" w:rsidP="00F37C0C">
            <w:pPr>
              <w:jc w:val="center"/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color w:val="2F5496" w:themeColor="accent5" w:themeShade="BF"/>
                <w:sz w:val="20"/>
                <w:szCs w:val="20"/>
              </w:rPr>
              <w:t>Opis przyczyn, które decydują o wystąpieniu lub braku ryzyka</w:t>
            </w:r>
          </w:p>
          <w:p w14:paraId="17298C40" w14:textId="77777777" w:rsidR="00C740FA" w:rsidRPr="00962C48" w:rsidRDefault="00C740FA" w:rsidP="00F37C0C">
            <w:pPr>
              <w:jc w:val="center"/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8D08D" w:themeFill="accent6" w:themeFillTint="99"/>
            <w:vAlign w:val="center"/>
          </w:tcPr>
          <w:p w14:paraId="2FF62EE5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color w:val="2F5496" w:themeColor="accent5" w:themeShade="BF"/>
                <w:sz w:val="20"/>
                <w:szCs w:val="20"/>
              </w:rPr>
              <w:t>Strategie łagodzące mające na celu zminimalizowanie ryzyka</w:t>
            </w:r>
            <w:r w:rsidRPr="00962C48">
              <w:rPr>
                <w:rStyle w:val="Odwoanieprzypisudolnego"/>
                <w:rFonts w:cs="Arial"/>
                <w:b/>
                <w:color w:val="2F5496" w:themeColor="accent5" w:themeShade="BF"/>
                <w:sz w:val="20"/>
                <w:szCs w:val="20"/>
              </w:rPr>
              <w:footnoteReference w:id="1"/>
            </w:r>
          </w:p>
        </w:tc>
      </w:tr>
      <w:tr w:rsidR="00962C48" w:rsidRPr="00962C48" w14:paraId="18CBC140" w14:textId="77777777" w:rsidTr="00CC29B1">
        <w:trPr>
          <w:trHeight w:val="255"/>
        </w:trPr>
        <w:tc>
          <w:tcPr>
            <w:tcW w:w="1411" w:type="dxa"/>
            <w:vMerge/>
            <w:shd w:val="clear" w:color="auto" w:fill="488FB4"/>
            <w:vAlign w:val="center"/>
          </w:tcPr>
          <w:p w14:paraId="33715CFF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1F097356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489A75C5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68A4E400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962C48" w:rsidRPr="00962C48" w14:paraId="642D79D0" w14:textId="77777777" w:rsidTr="00CC29B1">
        <w:trPr>
          <w:cantSplit/>
          <w:trHeight w:val="1804"/>
        </w:trPr>
        <w:tc>
          <w:tcPr>
            <w:tcW w:w="1411" w:type="dxa"/>
            <w:vMerge/>
            <w:shd w:val="clear" w:color="auto" w:fill="488FB4"/>
            <w:vAlign w:val="center"/>
          </w:tcPr>
          <w:p w14:paraId="5BC16148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24BDE75E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2461BD51" w14:textId="77777777" w:rsidR="00C740FA" w:rsidRPr="00962C48" w:rsidRDefault="00C740FA" w:rsidP="00F37C0C">
            <w:pPr>
              <w:jc w:val="center"/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54A8A0CB" w14:textId="77777777" w:rsidR="00C740FA" w:rsidRPr="00962C48" w:rsidRDefault="00C740FA" w:rsidP="00F37C0C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962C48" w:rsidRPr="00962C48" w14:paraId="4CAA4B87" w14:textId="77777777" w:rsidTr="00CC29B1">
        <w:trPr>
          <w:trHeight w:val="568"/>
        </w:trPr>
        <w:tc>
          <w:tcPr>
            <w:tcW w:w="1411" w:type="dxa"/>
            <w:shd w:val="clear" w:color="auto" w:fill="488FB4"/>
            <w:vAlign w:val="center"/>
          </w:tcPr>
          <w:p w14:paraId="3FA71A3F" w14:textId="77777777" w:rsidR="003B4A5B" w:rsidRPr="00946EE8" w:rsidRDefault="003B4A5B" w:rsidP="00F37C0C">
            <w:pPr>
              <w:spacing w:line="48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8A6BC21" w14:textId="77777777" w:rsidR="003B4A5B" w:rsidRPr="00946EE8" w:rsidRDefault="003B4A5B" w:rsidP="00F37C0C">
            <w:pPr>
              <w:jc w:val="center"/>
              <w:rPr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F8BFE46" w14:textId="77777777" w:rsidR="00C80DC7" w:rsidRPr="00946EE8" w:rsidRDefault="00C80DC7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38A6BDCA" w14:textId="77777777" w:rsidR="00C80DC7" w:rsidRPr="00946EE8" w:rsidRDefault="00C80DC7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6FCBB9AF" w14:textId="77777777" w:rsidR="00AB3441" w:rsidRPr="00946EE8" w:rsidRDefault="00AB3441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UWAGI PODSTAWOWE</w:t>
            </w:r>
          </w:p>
          <w:p w14:paraId="759F5D77" w14:textId="77777777" w:rsidR="00071373" w:rsidRPr="00946EE8" w:rsidRDefault="00071373" w:rsidP="00071373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Acetamipryd to nazwa zwyczajowa substancji biologicznie czynnej (substancji aktywnej s.a.) należącej do grupy tzw. pochodnych neonikotynoidów. Jego nazwa systematyczna wg Międz</w:t>
            </w:r>
            <w:r w:rsidR="009C56CA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ynarodowej Unii Chemii Czystej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i Stosowanej (ang. </w:t>
            </w:r>
            <w:r w:rsidRPr="00041190">
              <w:rPr>
                <w:rFonts w:cs="Arial"/>
                <w:color w:val="1F4E79" w:themeColor="accent1" w:themeShade="80"/>
                <w:sz w:val="20"/>
                <w:szCs w:val="20"/>
                <w:lang w:val="en-US"/>
              </w:rPr>
              <w:t xml:space="preserve">International Union of Pure and Applied Chemistry, w skrócie IUPAC, to (E)-N1-(6-chloro-3-pirydylometylo)-N2-cyjano-N1-metyloacetamidyna.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Neonikotynoidy to grupa syntetycznych analogów nikotyny, która jest naturalnym i najstarszym insektycydem znanym od około 1890 r. </w:t>
            </w:r>
          </w:p>
          <w:p w14:paraId="7DD197D6" w14:textId="77777777" w:rsidR="007813F6" w:rsidRDefault="00071373" w:rsidP="00071373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Są neurotoksynami działającymi na centralny układ nerwowy owadów. Neonikotynoidy jako agoniści acetylocholiny, związku chemicznego występującego w komórk</w:t>
            </w:r>
            <w:r w:rsidR="009C56CA">
              <w:rPr>
                <w:rFonts w:cs="Arial"/>
                <w:color w:val="1F4E79" w:themeColor="accent1" w:themeShade="80"/>
                <w:sz w:val="20"/>
                <w:szCs w:val="20"/>
              </w:rPr>
              <w:t>ach nerwowych żywych organizmów, p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o wniknięciu do organizmu zastępują ten neurohormon w receptorach nikotynowych i nikotynowo-muskarynowych aktywując je podobnie do acetylocholiny. Po wywołaniu impulsu nie ulega on jednak degradacji enzymatycznej. </w:t>
            </w:r>
          </w:p>
          <w:p w14:paraId="6CBAE573" w14:textId="77777777" w:rsidR="007813F6" w:rsidRDefault="007813F6" w:rsidP="00071373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59015E98" w14:textId="77777777" w:rsidR="00071373" w:rsidRPr="00946EE8" w:rsidRDefault="00071373" w:rsidP="00071373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lastRenderedPageBreak/>
              <w:t>Efektem działania jest nadpobudliwość neuronów objawiająca się drgawkami i konwulsjami mogącymi doprowadzić do śmierci owada.</w:t>
            </w:r>
          </w:p>
          <w:p w14:paraId="2496C3C3" w14:textId="77777777" w:rsidR="00071373" w:rsidRPr="00946EE8" w:rsidRDefault="00071373" w:rsidP="00071373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Sumaryczne (kontaktowe i żołądkowe) działanie na owady trwa, w zależności od gatunku i fazy rozwojowej rośliny, około 10 dni.</w:t>
            </w:r>
          </w:p>
          <w:p w14:paraId="46E0E1D0" w14:textId="77777777" w:rsidR="00074A63" w:rsidRPr="00946EE8" w:rsidRDefault="00074A63" w:rsidP="00071373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3C43B776" w14:textId="77777777" w:rsidR="00C80DC7" w:rsidRPr="00946EE8" w:rsidRDefault="00C80DC7" w:rsidP="00C80DC7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 opisu zagrożeń wynika, że do najważniejszych kwestii należy bezpieczeństwo pracowników i potencjalne zanieczyszczenie wód. Strategie łagodzenia koncentrują się na tych kluczowych zagrożeniach, ale uwzględniają także inne,  zidentyfikowane zagrożenia: potencjalny wpływ na gatunki niebędące przedmiotem zwalczania, moż</w:t>
            </w:r>
            <w:r w:rsidR="00672686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liwość zanieczyszczenia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żywności </w:t>
            </w:r>
            <w:r w:rsidR="00672686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leśnej,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wpływ na dostęp publiczny do lasów.</w:t>
            </w:r>
          </w:p>
          <w:p w14:paraId="0CE20DFA" w14:textId="77777777" w:rsidR="00077A74" w:rsidRPr="00946EE8" w:rsidRDefault="00077A74" w:rsidP="00C80DC7">
            <w:pPr>
              <w:autoSpaceDE w:val="0"/>
              <w:autoSpaceDN w:val="0"/>
              <w:adjustRightInd w:val="0"/>
              <w:rPr>
                <w:rFonts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73ED6B5" w14:textId="77777777" w:rsidR="00AB3441" w:rsidRPr="00946EE8" w:rsidRDefault="00AB3441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lastRenderedPageBreak/>
              <w:t>PODSTAWOWE STRATEGIE</w:t>
            </w:r>
          </w:p>
          <w:p w14:paraId="20BFC203" w14:textId="77777777" w:rsidR="00114C59" w:rsidRPr="00946EE8" w:rsidRDefault="00114C59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Należy przestrzegać wymagań i odpowiednich zaleceń 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zawartych na etykiecie produktu oraz </w:t>
            </w:r>
            <w:r w:rsidR="007813F6">
              <w:rPr>
                <w:rFonts w:cs="Arial"/>
                <w:color w:val="1F4E79" w:themeColor="accent1" w:themeShade="80"/>
                <w:sz w:val="20"/>
                <w:szCs w:val="20"/>
              </w:rPr>
              <w:t>przestrzegać obowiązujące</w:t>
            </w:r>
            <w:r w:rsidR="00470A2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7813F6">
              <w:rPr>
                <w:rFonts w:cs="Arial"/>
                <w:color w:val="1F4E79" w:themeColor="accent1" w:themeShade="80"/>
                <w:sz w:val="20"/>
                <w:szCs w:val="20"/>
              </w:rPr>
              <w:t>przepisy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prawa.</w:t>
            </w:r>
          </w:p>
          <w:p w14:paraId="7782A1E9" w14:textId="77777777" w:rsidR="00DE5D6D" w:rsidRPr="00946EE8" w:rsidRDefault="0087518E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Większość </w:t>
            </w:r>
            <w:r w:rsidR="00DE5D6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zagrożeń można do pewnego stopnia złagodzić poprzez zminimalizowanie stosowa</w:t>
            </w:r>
            <w:r w:rsidR="000663E5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nej objętości i częstotliwości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stosowania,</w:t>
            </w:r>
            <w:r w:rsidR="00DE5D6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o</w:t>
            </w:r>
            <w:r w:rsidR="00DE5D6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graniczenie zagrożeń dla bezpieczeństwa pracowników i wody, a także zagrożeń, takich jak źle ukierunkowane zastosowania dotyczące gatunków nie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będących przedmiotem zwalczania</w:t>
            </w:r>
            <w:r w:rsidR="007813F6">
              <w:rPr>
                <w:rFonts w:cs="Arial"/>
                <w:color w:val="1F4E79" w:themeColor="accent1" w:themeShade="80"/>
                <w:sz w:val="20"/>
                <w:szCs w:val="20"/>
              </w:rPr>
              <w:t>. Realizację minimalizacji zagrożeń można uzyskać przez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prawidłowe użycie 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właściwie konserwowanego i skalibrowanego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aplikatora, 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bezpieczny transport i przechowywanie, </w:t>
            </w:r>
            <w:r w:rsidR="00426EC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właściwe</w:t>
            </w:r>
            <w:r w:rsidR="00DA0DF8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usuwanie odpadów zgodnie z etykietą </w:t>
            </w:r>
            <w:r w:rsidR="00426EC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oraz odpowiednie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przeszkolenia pracowników</w:t>
            </w:r>
            <w:r w:rsidR="007813F6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i</w:t>
            </w:r>
            <w:r w:rsidR="0044340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stosowanie środków ochrony osobistej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.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Powyższe ograniczanie </w:t>
            </w:r>
            <w:r w:rsidR="00074A6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zagrożeń można osiągnąć poprzez odpowiednio skonstruowane umowy z zakładami usł</w:t>
            </w:r>
            <w:r w:rsidR="00470A23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ug leśnych i staranny nadzór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nad wykonywanymi pracami.</w:t>
            </w:r>
          </w:p>
          <w:p w14:paraId="698A6A04" w14:textId="77777777" w:rsidR="004A41BD" w:rsidRPr="00946EE8" w:rsidRDefault="004A41BD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Współpraca z ośrodkami badawczymi gwarantuje  przekazywanie informacji o badaniach nad chemicznymi i niechemicznymi alternatywami dla acetamiprydu.</w:t>
            </w:r>
          </w:p>
          <w:p w14:paraId="7E121DC0" w14:textId="77777777" w:rsidR="00946EE8" w:rsidRDefault="00946EE8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180C4A16" w14:textId="77777777" w:rsidR="00946EE8" w:rsidRDefault="00946EE8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2A82E0DF" w14:textId="77777777" w:rsidR="004A41BD" w:rsidRPr="00946EE8" w:rsidRDefault="00470A23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Postępowanie przy użyciu acetamiprydu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:</w:t>
            </w:r>
          </w:p>
          <w:p w14:paraId="79F98B4C" w14:textId="77777777" w:rsidR="00946EE8" w:rsidRDefault="004A41BD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•  Znajomość wymagań prawnych i kodeksów postępowania dotyczących stosowania pestycydów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</w:p>
          <w:p w14:paraId="7561DCF7" w14:textId="77777777" w:rsidR="00470A23" w:rsidRPr="00946EE8" w:rsidRDefault="00946EE8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• Stosowanie pestycydu zawierającego acetamipryd zgodnie z etykietą i obowiązującymi przepisami prawa</w:t>
            </w:r>
            <w:r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• Zrozumienie znaczenia informacji o produkcie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A054EA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• Stosowanie środków ostrożności dla osób stosujących środek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</w:p>
          <w:p w14:paraId="4666E166" w14:textId="77777777" w:rsidR="00A054EA" w:rsidRPr="00946EE8" w:rsidRDefault="00946EE8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•</w:t>
            </w:r>
            <w:r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A054EA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Stosowanie środków ostrożności związanych z ochroną środowiska naturalnego;</w:t>
            </w:r>
          </w:p>
          <w:p w14:paraId="73E1CEA8" w14:textId="77777777" w:rsidR="004A41BD" w:rsidRPr="00946EE8" w:rsidRDefault="00470A23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• Umiejętność wdrożenia procedur awaryjnych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• B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ezpiecznie przechowywa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nie</w:t>
            </w:r>
            <w:r w:rsidR="00A054EA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i transport pestycydów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• Odpowiednie zarządzanie i pozbywanie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się nadwyżek pestycydów i materiałów odpadowych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• 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Znajomość wymagań dotyc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zących prowadzenia dokumentacji;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                                       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• 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Znajomość przepisów prawnych i przepisów bezpieczeństwa dotyczących stosowania aplikatorów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                               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• 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Umiejętność oceny czynników środowiskowych związ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anych z mieszaniem i aplikacją;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                              • Umiejętność przygo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towania i skalibrowania aplikatora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;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                                     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• 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Umiejętno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ść obsługi sprzętu do aplikacji;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• 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Umiejętność wykonywania procedur</w:t>
            </w:r>
            <w:r w:rsidR="00C7522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pooperacyjnych.</w:t>
            </w:r>
            <w:r w:rsidR="004A41B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</w:t>
            </w:r>
          </w:p>
          <w:p w14:paraId="38C2039C" w14:textId="77777777" w:rsidR="004A41BD" w:rsidRPr="00946EE8" w:rsidRDefault="004A41BD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061145D3" w14:textId="77777777" w:rsidR="00C436AE" w:rsidRPr="00946EE8" w:rsidRDefault="00E36E97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cs="Arial"/>
                <w:color w:val="1F4E79" w:themeColor="accent1" w:themeShade="80"/>
                <w:sz w:val="20"/>
                <w:szCs w:val="20"/>
              </w:rPr>
              <w:t>Przed zastosowaniem Mospilanu</w:t>
            </w:r>
            <w:r w:rsidR="00C436A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należy poinformować o tym fakcie wszystkie zainteresowane strony, któr</w:t>
            </w:r>
            <w:r w:rsidR="00946EE8">
              <w:rPr>
                <w:rFonts w:cs="Arial"/>
                <w:color w:val="1F4E79" w:themeColor="accent1" w:themeShade="80"/>
                <w:sz w:val="20"/>
                <w:szCs w:val="20"/>
              </w:rPr>
              <w:t>e mogą być narażone na kontakt z cieczą</w:t>
            </w:r>
            <w:r w:rsidR="00105AC7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użytkową</w:t>
            </w:r>
            <w:r w:rsidR="00C436AE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i które zwróciły się o taką informację.</w:t>
            </w:r>
          </w:p>
          <w:p w14:paraId="5FB0746F" w14:textId="77777777" w:rsidR="00AB3441" w:rsidRPr="00946EE8" w:rsidRDefault="00AB3441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  <w:p w14:paraId="0F6FBCCA" w14:textId="77777777" w:rsidR="003B4A5B" w:rsidRPr="00946EE8" w:rsidRDefault="003B4A5B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962C48" w:rsidRPr="00962C48" w14:paraId="4402AA69" w14:textId="77777777" w:rsidTr="00CC29B1">
        <w:trPr>
          <w:trHeight w:val="56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3C205216" w14:textId="77777777" w:rsidR="002531D4" w:rsidRPr="00962C48" w:rsidRDefault="002531D4" w:rsidP="00F37C0C">
            <w:pPr>
              <w:spacing w:line="480" w:lineRule="auto"/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  <w:p w14:paraId="3EF9D9E1" w14:textId="77777777" w:rsidR="002531D4" w:rsidRPr="00962C48" w:rsidRDefault="002531D4" w:rsidP="00F37C0C">
            <w:pPr>
              <w:spacing w:line="480" w:lineRule="auto"/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  <w:p w14:paraId="122855F2" w14:textId="77777777" w:rsidR="002531D4" w:rsidRPr="00962C48" w:rsidRDefault="002531D4" w:rsidP="00F37C0C">
            <w:pPr>
              <w:spacing w:line="480" w:lineRule="auto"/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  <w:p w14:paraId="3075EA26" w14:textId="77777777" w:rsidR="00C740FA" w:rsidRPr="00962C48" w:rsidRDefault="00C740FA" w:rsidP="00F37C0C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color w:val="2F5496" w:themeColor="accent5" w:themeShade="BF"/>
                <w:sz w:val="20"/>
                <w:szCs w:val="20"/>
              </w:rPr>
              <w:t>Środowiskowe</w:t>
            </w:r>
          </w:p>
          <w:p w14:paraId="36A4875A" w14:textId="77777777" w:rsidR="00C740FA" w:rsidRPr="00962C48" w:rsidRDefault="00C740FA" w:rsidP="00F37C0C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color w:val="2F5496" w:themeColor="accent5" w:themeShade="BF"/>
              </w:rPr>
              <w:lastRenderedPageBreak/>
              <w:br w:type="page"/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0E94F7A" w14:textId="77777777" w:rsidR="00C740FA" w:rsidRPr="00962C48" w:rsidRDefault="00C740FA" w:rsidP="00F37C0C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lastRenderedPageBreak/>
              <w:t>Gleba (erozja, degradacja, flora i fauna, magazynowanie węgla)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19AD59B" w14:textId="77777777" w:rsidR="00C740FA" w:rsidRPr="00962C48" w:rsidRDefault="00426EC3" w:rsidP="00426EC3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Uważa się, że standardowe stosowanie acetamiprydu w lasach nie ma znaczącego wpływu. </w:t>
            </w:r>
            <w:r w:rsidR="00A075DA"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Brak ryzyka lub ryzyko minimalne</w:t>
            </w:r>
            <w:r w:rsidR="007B26A5"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C0196CA" w14:textId="77777777" w:rsidR="00C740FA" w:rsidRPr="00962C48" w:rsidRDefault="004138DE" w:rsidP="004138DE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4138DE">
              <w:rPr>
                <w:rFonts w:cs="Arial"/>
                <w:color w:val="2F5496" w:themeColor="accent5" w:themeShade="BF"/>
                <w:sz w:val="20"/>
                <w:szCs w:val="20"/>
              </w:rPr>
              <w:t>Stosowani</w:t>
            </w:r>
            <w:r w:rsidR="00DA0DF8">
              <w:rPr>
                <w:rFonts w:cs="Arial"/>
                <w:color w:val="2F5496" w:themeColor="accent5" w:themeShade="BF"/>
                <w:sz w:val="20"/>
                <w:szCs w:val="20"/>
              </w:rPr>
              <w:t>e</w:t>
            </w:r>
            <w:r w:rsidR="00946EE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pestycydu zawierającego acetamipryd </w:t>
            </w:r>
            <w:r w:rsidR="00DA0DF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zgodnie z etykietą </w:t>
            </w:r>
            <w:r w:rsidRPr="004138DE">
              <w:rPr>
                <w:rFonts w:cs="Arial"/>
                <w:color w:val="2F5496" w:themeColor="accent5" w:themeShade="BF"/>
                <w:sz w:val="20"/>
                <w:szCs w:val="20"/>
              </w:rPr>
              <w:t>i obowiązującymi przepisami prawa.</w:t>
            </w:r>
          </w:p>
        </w:tc>
      </w:tr>
      <w:tr w:rsidR="00962C48" w:rsidRPr="00962C48" w14:paraId="28B3CE00" w14:textId="77777777" w:rsidTr="00946EE8">
        <w:trPr>
          <w:trHeight w:val="1398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35504E9E" w14:textId="77777777" w:rsidR="00C740FA" w:rsidRPr="00962C48" w:rsidRDefault="00C740FA" w:rsidP="00F37C0C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4E4E062" w14:textId="77777777" w:rsidR="00C740FA" w:rsidRPr="00962C48" w:rsidRDefault="00C740FA" w:rsidP="00F37C0C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Woda (wody gruntowe, wody powierzchniowe, zasoby wodne)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B80F967" w14:textId="77777777" w:rsidR="00C740FA" w:rsidRPr="00962C48" w:rsidRDefault="00A075DA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Możliwe</w:t>
            </w:r>
            <w:r w:rsidR="003B1580"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zanieczyszcz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enie</w:t>
            </w:r>
            <w:r w:rsidR="003B1580"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wód środkiem ochrony roślin lub jego opakowaniem.</w:t>
            </w:r>
            <w:r w:rsidR="00426EC3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Acetamipryd jest szkodliwy dla organizmów wodnych powodując długotrwałe skutki. Największe ryzyko szkód wiąże się z mieszaniem i napełnian</w:t>
            </w:r>
            <w:r w:rsidR="005F3C5E">
              <w:rPr>
                <w:rFonts w:cs="Arial"/>
                <w:color w:val="2F5496" w:themeColor="accent5" w:themeShade="BF"/>
                <w:sz w:val="20"/>
                <w:szCs w:val="20"/>
              </w:rPr>
              <w:t>iem nierozcieńczonych produktów</w:t>
            </w:r>
            <w:r w:rsidR="00886B28">
              <w:rPr>
                <w:rFonts w:cs="Arial"/>
                <w:color w:val="2F5496" w:themeColor="accent5" w:themeShade="BF"/>
                <w:sz w:val="20"/>
                <w:szCs w:val="20"/>
              </w:rPr>
              <w:t>.</w:t>
            </w:r>
            <w:r w:rsidR="005F3C5E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DECAA2D" w14:textId="77777777" w:rsidR="00BA3E98" w:rsidRDefault="00BA3E98" w:rsidP="008E19AC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>Głównym</w:t>
            </w:r>
            <w:r w:rsidRPr="00BA3E9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środkiem ochrony wód powierzchniowych i zasobów wodnych jest ich identyfikacja i przestrzeganie odpowiednich stref buforowych wokół nich, zgodnie z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etykietą środka </w:t>
            </w:r>
            <w:r w:rsidRPr="00BA3E98">
              <w:rPr>
                <w:rFonts w:cs="Arial"/>
                <w:color w:val="2F5496" w:themeColor="accent5" w:themeShade="BF"/>
                <w:sz w:val="20"/>
                <w:szCs w:val="20"/>
              </w:rPr>
              <w:t>i obowiązującymi przepisami prawa</w:t>
            </w:r>
            <w:r w:rsidR="000C656F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w tym Prawa Wodnego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>.</w:t>
            </w:r>
            <w:r w:rsidR="00886B2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14:paraId="5B495E4E" w14:textId="77777777" w:rsidR="00F31F48" w:rsidRPr="00962C48" w:rsidRDefault="003A2AE6" w:rsidP="003A2AE6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cs="Arial"/>
                <w:color w:val="2F5496" w:themeColor="accent5" w:themeShade="BF"/>
                <w:sz w:val="20"/>
                <w:szCs w:val="20"/>
              </w:rPr>
              <w:lastRenderedPageBreak/>
              <w:t>Przechowywanie oraz p</w:t>
            </w:r>
            <w:r w:rsidR="00886B28" w:rsidRPr="00886B2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rzygotowanie pestycydów do zastosowania oraz napełnianie, czyszczenie lub konserwacja opryskiwaczy </w:t>
            </w:r>
            <w:r w:rsidR="00502F15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musi </w:t>
            </w:r>
            <w:r w:rsidR="00886B28" w:rsidRPr="00886B28">
              <w:rPr>
                <w:rFonts w:cs="Arial"/>
                <w:color w:val="2F5496" w:themeColor="accent5" w:themeShade="BF"/>
                <w:sz w:val="20"/>
                <w:szCs w:val="20"/>
              </w:rPr>
              <w:t>odbywa</w:t>
            </w:r>
            <w:r w:rsidR="00502F15">
              <w:rPr>
                <w:rFonts w:cs="Arial"/>
                <w:color w:val="2F5496" w:themeColor="accent5" w:themeShade="BF"/>
                <w:sz w:val="20"/>
                <w:szCs w:val="20"/>
              </w:rPr>
              <w:t>ć</w:t>
            </w:r>
            <w:r w:rsidR="00886B28" w:rsidRPr="00886B2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się w takich warunkach, aby wszelkie rozlania, spływy lub popłuczyny nie dostały się do 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>zasobów wodnych, zwracając uwagę na nachylenie gruntu, jego uwodnienienie (również w aspekcie zmian pór roku), przepuszczalność, odwodnienie i inne elementy terenu mające wpływ na kontakt z zasobami wodnymi.</w:t>
            </w:r>
          </w:p>
        </w:tc>
      </w:tr>
      <w:tr w:rsidR="00962C48" w:rsidRPr="00962C48" w14:paraId="3BA91F81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14F28C8D" w14:textId="77777777" w:rsidR="00C740FA" w:rsidRPr="00962C48" w:rsidRDefault="00C740FA" w:rsidP="00F37C0C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806B9B1" w14:textId="77777777" w:rsidR="00C740FA" w:rsidRPr="00962C48" w:rsidRDefault="00C740FA" w:rsidP="00F37C0C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Atmosfera (jakość powietrza, gazy cieplarniane)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50E852D" w14:textId="77777777" w:rsidR="00C740FA" w:rsidRPr="00962C48" w:rsidRDefault="007B26A5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F65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Brak </w:t>
            </w:r>
            <w:r w:rsidR="00F65EE8" w:rsidRPr="00F65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realnego </w:t>
            </w:r>
            <w:r w:rsidRPr="00F65EE8">
              <w:rPr>
                <w:rFonts w:cs="Arial"/>
                <w:color w:val="1F4E79" w:themeColor="accent1" w:themeShade="80"/>
                <w:sz w:val="20"/>
                <w:szCs w:val="20"/>
              </w:rPr>
              <w:t>ryzyka</w:t>
            </w:r>
            <w:r w:rsidR="00F65EE8" w:rsidRPr="00F65EE8">
              <w:rPr>
                <w:rFonts w:cs="Arial"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918134C" w14:textId="77777777" w:rsidR="00C740FA" w:rsidRPr="00962C48" w:rsidRDefault="005B1D4A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Nie dotyczy</w:t>
            </w:r>
          </w:p>
        </w:tc>
      </w:tr>
      <w:tr w:rsidR="00962C48" w:rsidRPr="00962C48" w14:paraId="1EED79FD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622A69FC" w14:textId="77777777" w:rsidR="00C740FA" w:rsidRPr="00962C48" w:rsidRDefault="00C740FA" w:rsidP="00F37C0C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030C563" w14:textId="77777777" w:rsidR="00C740FA" w:rsidRPr="00962C48" w:rsidRDefault="00C740FA" w:rsidP="00F37C0C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Gatunki niebędące przedmiotem zwalczania (roślinność, dzika przyroda, pszczoły i inne owady zapylające, zwierzęta domowe)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A111C77" w14:textId="77777777" w:rsidR="00775B9B" w:rsidRDefault="00D10CA3" w:rsidP="00DF1467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>Na obszar na którym został zaaplikowany Acetamipryd</w:t>
            </w:r>
            <w:r w:rsidR="00DF1467" w:rsidRPr="00C436AE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w dawkach zgodnych z jego etykietą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>,</w:t>
            </w:r>
            <w:r w:rsidR="00DF1467" w:rsidRPr="00C436AE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nie ma konieczności </w:t>
            </w:r>
            <w:r w:rsidR="00775B9B">
              <w:rPr>
                <w:rFonts w:cs="Arial"/>
                <w:color w:val="2F5496" w:themeColor="accent5" w:themeShade="BF"/>
                <w:sz w:val="20"/>
                <w:szCs w:val="20"/>
              </w:rPr>
              <w:t>stosowania okresu prewencji i mo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gą zostać wprowadzone zwierzęta. </w:t>
            </w:r>
            <w:r w:rsidR="00775B9B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14:paraId="3D7DCF3B" w14:textId="77777777" w:rsidR="00775B9B" w:rsidRDefault="00775B9B" w:rsidP="00DF1467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  <w:p w14:paraId="1E83E7A6" w14:textId="77777777" w:rsidR="00DF1467" w:rsidRDefault="00D10CA3" w:rsidP="00DF1467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Acetamipryd wykazuje </w:t>
            </w:r>
            <w:r w:rsidR="00DF1467" w:rsidRPr="00C436AE">
              <w:rPr>
                <w:rFonts w:cs="Arial"/>
                <w:color w:val="2F5496" w:themeColor="accent5" w:themeShade="BF"/>
                <w:sz w:val="20"/>
                <w:szCs w:val="20"/>
              </w:rPr>
              <w:t>niską toksyczność dla pszczół i innych owadów</w:t>
            </w:r>
            <w:r w:rsidR="00DF1467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="00DF1467" w:rsidRPr="00C436AE">
              <w:rPr>
                <w:rFonts w:cs="Arial"/>
                <w:color w:val="2F5496" w:themeColor="accent5" w:themeShade="BF"/>
                <w:sz w:val="20"/>
                <w:szCs w:val="20"/>
              </w:rPr>
              <w:t>zapylających oraz ma znikomy wpływ na stawonogi pożyteczne i gospodarczo obojętne.</w:t>
            </w:r>
          </w:p>
          <w:p w14:paraId="455A7D48" w14:textId="77777777" w:rsidR="00DF1467" w:rsidRDefault="00DF1467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  <w:p w14:paraId="3B8512EA" w14:textId="77777777" w:rsidR="00C740FA" w:rsidRPr="00962C48" w:rsidRDefault="003B1580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Zabrania się stosowania produktu na terenach, na który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ch występują gatunki stawonogów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wymienione w załączniku II lub IV do dyrektywy 92/43/EWG z dnia 1 maja 1992 r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. w sprawie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ochrony siedlisk przyrodniczych oraz dzikiej fauny i flory (D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z.U. L 206 z 22.7.1992, str. 7,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z poźn. zm.).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337A17" w14:textId="77777777" w:rsidR="00F31F48" w:rsidRPr="00F31F48" w:rsidRDefault="00F31F48" w:rsidP="00F31F4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W celu ochrony organizmów wodnych niebędących celem działania środka konieczne jest</w:t>
            </w:r>
          </w:p>
          <w:p w14:paraId="00DFB175" w14:textId="77777777" w:rsidR="00F31F48" w:rsidRPr="00F31F48" w:rsidRDefault="00F31F48" w:rsidP="00F31F4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wyznaczenie:</w:t>
            </w:r>
          </w:p>
          <w:p w14:paraId="20A7749A" w14:textId="77777777" w:rsidR="00A45640" w:rsidRDefault="00F31F48" w:rsidP="00F31F48"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– zadarnionej strefy ochronnej o szerokości 100 m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od zbiorników i cieków wodnych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w przypadku stosowania środka w lasach w dawce 0,15 kg/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ha, 0,25 kg/ha, 0,3 kg/ha i 0,4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kg/ha dla zabiegów wykonywanych aparaturą agrolotniczą;</w:t>
            </w:r>
            <w:r>
              <w:t xml:space="preserve"> </w:t>
            </w:r>
          </w:p>
          <w:p w14:paraId="5330FA08" w14:textId="77777777" w:rsidR="00F31F48" w:rsidRPr="00F31F48" w:rsidRDefault="00A45640" w:rsidP="00F31F4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t xml:space="preserve">- </w:t>
            </w:r>
            <w:r w:rsidR="00F31F48"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zadarnionej strefy ochronnej o szerokości 25 m od zbiorników i cieków wo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dnych </w:t>
            </w:r>
            <w:r w:rsidR="00F31F48"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w przypadku stosowania środka w lasach w dawce 0,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4 kg/ha dla zabiegów wykonanych </w:t>
            </w:r>
            <w:r w:rsidR="00F31F48"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aparaturą naziemną;</w:t>
            </w:r>
          </w:p>
          <w:p w14:paraId="18F4F231" w14:textId="77777777" w:rsidR="00F31F48" w:rsidRPr="00F31F48" w:rsidRDefault="00F31F48" w:rsidP="00F31F4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– zadarnionej strefy ochronnej o szerokości 20 m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od zbiorników i cieków wodnych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w przypadku stosowania środka w uprawie jabłoni oraz w lasach w dawce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1-2 x 0,2 kg/ha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dla zabiegów wykonywanych aparaturą naziemną;</w:t>
            </w:r>
          </w:p>
          <w:p w14:paraId="07FC058A" w14:textId="77777777" w:rsidR="00F31F48" w:rsidRPr="00F31F48" w:rsidRDefault="00F31F48" w:rsidP="00F31F4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– zadarnionej strefy ochronnej o szerokości 20 m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od zbiorników i cieków wodnych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w przypadku stosowania środka </w:t>
            </w:r>
            <w:r w:rsidR="00CF61DF">
              <w:rPr>
                <w:rFonts w:cs="Arial"/>
                <w:color w:val="2F5496" w:themeColor="accent5" w:themeShade="BF"/>
                <w:sz w:val="20"/>
                <w:szCs w:val="20"/>
              </w:rPr>
              <w:t>na powierzchni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leśnych szkółek iglastych i liś</w:t>
            </w:r>
            <w:r w:rsidR="00CF61DF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ciastych drzew i krzewów, upraw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leśnych, na plantacjach nasiennych świerka i modrzewia;</w:t>
            </w:r>
          </w:p>
          <w:p w14:paraId="6A6D3A66" w14:textId="77777777" w:rsidR="00F31F48" w:rsidRPr="00F31F48" w:rsidRDefault="00F31F48" w:rsidP="00F31F4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– zadarnionej strefy ochronnej o szerokości 10 m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od zbiorników i cieków wodnych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w przypadku stosowania środka w uprawie agrestu, borówki wysokiej maliny, porzeczki</w:t>
            </w:r>
            <w:r w:rsidR="00487F09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czarnej, porzeczki czerwonej, porzeczki białej, leszczyny, winorośli;</w:t>
            </w:r>
          </w:p>
          <w:p w14:paraId="7B664EE4" w14:textId="77777777" w:rsidR="00F31F48" w:rsidRPr="00962C48" w:rsidRDefault="00F31F48" w:rsidP="00F31F4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– zadarnionej strefy ochronnej o szerokości 1 m od zbiorników i cieków wodnych</w:t>
            </w:r>
            <w:r w:rsidR="00487F09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w przypadku stosowania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lastRenderedPageBreak/>
              <w:t>środka w uprawie ziemnia</w:t>
            </w:r>
            <w:r w:rsidR="00A45640">
              <w:rPr>
                <w:rFonts w:cs="Arial"/>
                <w:color w:val="2F5496" w:themeColor="accent5" w:themeShade="BF"/>
                <w:sz w:val="20"/>
                <w:szCs w:val="20"/>
              </w:rPr>
              <w:t>ka, rzepaku, buraka ćwikłowego,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selera, kalafiorów, brokułów, bobiku, soi, lucerny, łubinu oraz roślin ozdobnych w gruncie</w:t>
            </w:r>
            <w:r w:rsidR="00487F09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31F48">
              <w:rPr>
                <w:rFonts w:cs="Arial"/>
                <w:color w:val="2F5496" w:themeColor="accent5" w:themeShade="BF"/>
                <w:sz w:val="20"/>
                <w:szCs w:val="20"/>
              </w:rPr>
              <w:t>i pod osłonami.</w:t>
            </w:r>
          </w:p>
        </w:tc>
      </w:tr>
      <w:tr w:rsidR="00962C48" w:rsidRPr="00962C48" w14:paraId="29D09628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176DADD0" w14:textId="77777777" w:rsidR="00C740FA" w:rsidRPr="00962C48" w:rsidRDefault="00C740FA" w:rsidP="00F37C0C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5B1C24D" w14:textId="77777777" w:rsidR="00C740FA" w:rsidRPr="00962C48" w:rsidRDefault="00C740FA" w:rsidP="002531D4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Leśne użytki uboczne niedrzewne (według FSC-STD-01-001 V5-2, Zasady i kryteria FSC, kryterium 5.1)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F77F796" w14:textId="77777777" w:rsidR="00C740FA" w:rsidRPr="00962C48" w:rsidRDefault="00DF1467" w:rsidP="00423ABD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DF1467">
              <w:rPr>
                <w:rFonts w:cs="Arial"/>
                <w:color w:val="2F5496" w:themeColor="accent5" w:themeShade="BF"/>
                <w:sz w:val="20"/>
                <w:szCs w:val="20"/>
              </w:rPr>
              <w:t>Uważa się</w:t>
            </w:r>
            <w:r w:rsidR="0050410D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(m.</w:t>
            </w:r>
            <w:r w:rsidR="00423ABD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="0050410D">
              <w:rPr>
                <w:rFonts w:cs="Arial"/>
                <w:color w:val="2F5496" w:themeColor="accent5" w:themeShade="BF"/>
                <w:sz w:val="20"/>
                <w:szCs w:val="20"/>
              </w:rPr>
              <w:t>in.</w:t>
            </w:r>
            <w:r w:rsidR="00423ABD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w opracowaniach IBL i PIB w Poznaniu)</w:t>
            </w:r>
            <w:r w:rsidRPr="00DF1467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że standardowe stosowanie acetamiprydu w leśnictwie nie ma znaczących skutków, ponieważ nie stwarza on żadnego szczególnego zagrożenia dla pszczół miodnych, a tym samym dla produkcji miodu.</w:t>
            </w:r>
            <w:r w:rsidR="000C20CD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Wpływ </w:t>
            </w:r>
            <w:r w:rsidR="008101AF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na </w:t>
            </w:r>
            <w:r w:rsidR="00BE1168">
              <w:rPr>
                <w:rFonts w:cs="Arial"/>
                <w:color w:val="2F5496" w:themeColor="accent5" w:themeShade="BF"/>
                <w:sz w:val="20"/>
                <w:szCs w:val="20"/>
              </w:rPr>
              <w:t>żywność leśną</w:t>
            </w:r>
            <w:r w:rsidR="008101AF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 jest ograniczony pod warunkiem stosowania okresów karencji </w:t>
            </w:r>
            <w:r w:rsidRPr="00DF1467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="008101AF" w:rsidRPr="008101AF">
              <w:rPr>
                <w:rFonts w:cs="Arial"/>
                <w:color w:val="2F5496" w:themeColor="accent5" w:themeShade="BF"/>
                <w:sz w:val="20"/>
                <w:szCs w:val="20"/>
              </w:rPr>
              <w:t>używanego pestycydu zawierającego acetamipryd</w:t>
            </w:r>
            <w:r w:rsidR="008101AF">
              <w:rPr>
                <w:rFonts w:cs="Arial"/>
                <w:color w:val="2F5496" w:themeColor="accent5" w:themeShade="BF"/>
                <w:sz w:val="20"/>
                <w:szCs w:val="20"/>
              </w:rPr>
              <w:t>.</w:t>
            </w:r>
            <w:r w:rsidRPr="00DF1467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                          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86219BE" w14:textId="77777777" w:rsidR="000C656F" w:rsidRDefault="000C656F" w:rsidP="00DF1467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0C656F">
              <w:rPr>
                <w:rFonts w:cs="Arial"/>
                <w:color w:val="2F5496" w:themeColor="accent5" w:themeShade="BF"/>
                <w:sz w:val="20"/>
                <w:szCs w:val="20"/>
              </w:rPr>
              <w:t>Stosowanie pestycydu zawierającego acetamipryd zgodnie z etykietą i obowiązującymi przepisami prawa.</w:t>
            </w:r>
          </w:p>
          <w:p w14:paraId="16828FBA" w14:textId="77777777" w:rsidR="00C740FA" w:rsidRPr="00962C48" w:rsidRDefault="000C20CD" w:rsidP="00DF1467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>Kontrolowanie okresów karencji (okres od ostatniego zastosowania środka do zbioru rośliny uprawnej) używanego pestycydu zawierającego acetamipryd.</w:t>
            </w:r>
          </w:p>
        </w:tc>
      </w:tr>
      <w:tr w:rsidR="00962C48" w:rsidRPr="00962C48" w14:paraId="2BE5EEDF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421D503A" w14:textId="77777777" w:rsidR="003B1580" w:rsidRPr="00962C48" w:rsidRDefault="003B1580" w:rsidP="003B1580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99B96C9" w14:textId="77777777" w:rsidR="003B1580" w:rsidRPr="00962C48" w:rsidRDefault="003B1580" w:rsidP="003B1580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Szczególne Wartości Ochronne, HCV (zwłaszcza HCV 1-4)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0F4956D" w14:textId="77777777" w:rsidR="003B1580" w:rsidRPr="00962C48" w:rsidRDefault="00A075DA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Brak ryzyka dla HCV 1-4</w:t>
            </w:r>
            <w:r w:rsidR="00AB3441"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lub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21572E8" w14:textId="77777777" w:rsidR="003B1580" w:rsidRPr="00962C48" w:rsidRDefault="000C656F" w:rsidP="00DA0DF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0C656F">
              <w:rPr>
                <w:rFonts w:cs="Arial"/>
                <w:color w:val="2F5496" w:themeColor="accent5" w:themeShade="BF"/>
                <w:sz w:val="20"/>
                <w:szCs w:val="20"/>
              </w:rPr>
              <w:t>Stosowanie pestycydu zawierającego acetamipryd zgodnie z etykietą i obowiązującymi przepisami prawa.</w:t>
            </w:r>
          </w:p>
        </w:tc>
      </w:tr>
      <w:tr w:rsidR="00962C48" w:rsidRPr="00962C48" w14:paraId="04BC2A3D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2F09AA85" w14:textId="77777777" w:rsidR="003B1580" w:rsidRPr="00962C48" w:rsidRDefault="003B1580" w:rsidP="003B1580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0DF6B10" w14:textId="77777777" w:rsidR="003B1580" w:rsidRPr="00962C48" w:rsidRDefault="003B1580" w:rsidP="003B1580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Krajobraz (estetyka, oddziaływania skumulowane)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61B07E0" w14:textId="77777777" w:rsidR="003B1580" w:rsidRPr="00962C48" w:rsidRDefault="008E19AC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>Brak ryzyka</w:t>
            </w:r>
            <w:r w:rsidR="00D20229">
              <w:rPr>
                <w:rFonts w:cs="Arial"/>
                <w:color w:val="2F5496" w:themeColor="accent5" w:themeShade="BF"/>
                <w:sz w:val="20"/>
                <w:szCs w:val="20"/>
              </w:rPr>
              <w:t>. Przywrócenie zadrzewienia wcześniej uszkodzonego przez owady przynosi pozytywne skutki.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609E5A8" w14:textId="77777777" w:rsidR="003B1580" w:rsidRPr="00962C48" w:rsidRDefault="00D20229" w:rsidP="00A44BDA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D20229">
              <w:rPr>
                <w:rFonts w:cs="Arial"/>
                <w:color w:val="2F5496" w:themeColor="accent5" w:themeShade="BF"/>
                <w:sz w:val="20"/>
                <w:szCs w:val="20"/>
              </w:rPr>
              <w:t>Nie dotyczy</w:t>
            </w:r>
          </w:p>
        </w:tc>
      </w:tr>
      <w:tr w:rsidR="00962C48" w:rsidRPr="00962C48" w14:paraId="1881E17C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41AD0F39" w14:textId="77777777" w:rsidR="003B1580" w:rsidRPr="00962C48" w:rsidRDefault="003B1580" w:rsidP="003B1580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72DC5DD" w14:textId="77777777" w:rsidR="003B1580" w:rsidRPr="00962C48" w:rsidRDefault="003B1580" w:rsidP="003B1580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Usługi ekosystemowe (woda, gleba, sekwestracja dwutlenku węgla,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20C860E" w14:textId="77777777" w:rsidR="003B1580" w:rsidRPr="00962C48" w:rsidRDefault="00D20229" w:rsidP="00E37E5A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D20229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Jak wspomniano wcześniej, istnieje potencjalny wpływ na wodę.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57F8799" w14:textId="77777777" w:rsidR="003B1580" w:rsidRPr="00962C48" w:rsidRDefault="00BE1168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BE1168">
              <w:rPr>
                <w:rFonts w:cs="Arial"/>
                <w:color w:val="2F5496" w:themeColor="accent5" w:themeShade="BF"/>
                <w:sz w:val="20"/>
                <w:szCs w:val="20"/>
              </w:rPr>
              <w:t>Strategia minimalizowania ryzyka zanieczy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szczenia wody </w:t>
            </w:r>
            <w:r w:rsidRPr="00BE1168">
              <w:rPr>
                <w:rFonts w:cs="Arial"/>
                <w:color w:val="2F5496" w:themeColor="accent5" w:themeShade="BF"/>
                <w:sz w:val="20"/>
                <w:szCs w:val="20"/>
              </w:rPr>
              <w:t>została omówiona powyżej.</w:t>
            </w:r>
          </w:p>
        </w:tc>
      </w:tr>
      <w:tr w:rsidR="00962C48" w:rsidRPr="00962C48" w14:paraId="2DC59B2F" w14:textId="77777777" w:rsidTr="00CC29B1">
        <w:trPr>
          <w:trHeight w:val="567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49B410E9" w14:textId="77777777" w:rsidR="003B1580" w:rsidRPr="00962C48" w:rsidRDefault="003B1580" w:rsidP="003B1580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b/>
                <w:color w:val="2F5496" w:themeColor="accent5" w:themeShade="BF"/>
                <w:sz w:val="20"/>
                <w:szCs w:val="20"/>
              </w:rPr>
              <w:t xml:space="preserve">Społeczne </w:t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BF9A3B2" w14:textId="77777777" w:rsidR="003B1580" w:rsidRPr="00946EE8" w:rsidRDefault="003B1580" w:rsidP="00913C09">
            <w:pPr>
              <w:jc w:val="center"/>
              <w:rPr>
                <w:rFonts w:cs="Arial"/>
                <w:color w:val="1F4E79" w:themeColor="accent1" w:themeShade="80"/>
                <w:sz w:val="18"/>
                <w:szCs w:val="18"/>
              </w:rPr>
            </w:pPr>
            <w:r w:rsidRPr="00946EE8">
              <w:rPr>
                <w:color w:val="1F4E79" w:themeColor="accent1" w:themeShade="80"/>
                <w:sz w:val="18"/>
                <w:szCs w:val="18"/>
              </w:rPr>
              <w:t xml:space="preserve">Szczególne Wartości Ochronne, HCV (zwłaszcza </w:t>
            </w:r>
            <w:r w:rsidR="00913C09" w:rsidRPr="00946EE8">
              <w:rPr>
                <w:color w:val="1F4E79" w:themeColor="accent1" w:themeShade="80"/>
                <w:sz w:val="18"/>
                <w:szCs w:val="18"/>
              </w:rPr>
              <w:t>HCV</w:t>
            </w:r>
            <w:r w:rsidRPr="00946EE8">
              <w:rPr>
                <w:color w:val="1F4E79" w:themeColor="accent1" w:themeShade="80"/>
                <w:sz w:val="18"/>
                <w:szCs w:val="18"/>
              </w:rPr>
              <w:t xml:space="preserve"> 5-6)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309B077" w14:textId="77777777" w:rsidR="003B1580" w:rsidRPr="00946EE8" w:rsidRDefault="00A075DA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Brak ryzyka dla </w:t>
            </w:r>
            <w:r w:rsidRPr="00946EE8">
              <w:rPr>
                <w:color w:val="1F4E79" w:themeColor="accent1" w:themeShade="80"/>
                <w:sz w:val="18"/>
                <w:szCs w:val="18"/>
              </w:rPr>
              <w:t>HCV 5-6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5C3A60A" w14:textId="77777777" w:rsidR="003B1580" w:rsidRPr="00946EE8" w:rsidRDefault="00A075DA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Nie dotyczy</w:t>
            </w:r>
          </w:p>
        </w:tc>
      </w:tr>
      <w:tr w:rsidR="00962C48" w:rsidRPr="00962C48" w14:paraId="214A79F2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10DF33D7" w14:textId="77777777" w:rsidR="003B1580" w:rsidRPr="00962C48" w:rsidRDefault="003B1580" w:rsidP="003B1580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5DD489CF" w14:textId="77777777" w:rsidR="003B1580" w:rsidRPr="00946EE8" w:rsidRDefault="003B1580" w:rsidP="003B1580">
            <w:pPr>
              <w:jc w:val="center"/>
              <w:rPr>
                <w:rFonts w:cs="Arial"/>
                <w:color w:val="1F4E79" w:themeColor="accent1" w:themeShade="80"/>
                <w:sz w:val="18"/>
                <w:szCs w:val="18"/>
              </w:rPr>
            </w:pPr>
            <w:r w:rsidRPr="00946EE8">
              <w:rPr>
                <w:color w:val="1F4E79" w:themeColor="accent1" w:themeShade="80"/>
                <w:sz w:val="18"/>
                <w:szCs w:val="18"/>
              </w:rPr>
              <w:t>Zdrowie (płodność, zdrowie reprodukcyjne, zdrowie układu oddechowego, problemy dermatologiczne, neurologiczne i żołądkowo-jelitowe, nowotwory i zaburzenia równowagi hormonalnej);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DB7A7B6" w14:textId="77777777" w:rsidR="003B1580" w:rsidRPr="00946EE8" w:rsidRDefault="001F5E80" w:rsidP="0077331F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Spożycie acetamipirydu jest szkodliwe dla zdrowia człowieka</w:t>
            </w:r>
            <w:r w:rsidR="0077331F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, jednak nie ma naturalnej możliwości spożycia szkodliwych ilości podczas normalnego użytkowania.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9A9BEF8" w14:textId="77777777" w:rsidR="000C656F" w:rsidRDefault="000C656F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0C656F">
              <w:rPr>
                <w:rFonts w:cs="Arial"/>
                <w:color w:val="1F4E79" w:themeColor="accent1" w:themeShade="80"/>
                <w:sz w:val="20"/>
                <w:szCs w:val="20"/>
              </w:rPr>
              <w:t>Stosowanie pestycydu zawierającego acetamipryd zgodnie z etykietą i obowiązującymi przepisami prawa.</w:t>
            </w:r>
          </w:p>
          <w:p w14:paraId="100FFF5F" w14:textId="77777777" w:rsidR="001F5E80" w:rsidRPr="00946EE8" w:rsidRDefault="001F5E80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Stosowanie środków ochrony indywidualnej.</w:t>
            </w:r>
          </w:p>
          <w:p w14:paraId="50C499BB" w14:textId="77777777" w:rsidR="001F5E80" w:rsidRPr="00946EE8" w:rsidRDefault="001F5E80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Nadzór i monitorowanie pracowników stosującyc</w:t>
            </w:r>
            <w:r w:rsidR="000C20C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h pestycyd zawierający acetamip</w:t>
            </w:r>
            <w:r w:rsidR="00264F2B">
              <w:rPr>
                <w:rFonts w:cs="Arial"/>
                <w:color w:val="1F4E79" w:themeColor="accent1" w:themeShade="80"/>
                <w:sz w:val="20"/>
                <w:szCs w:val="20"/>
              </w:rPr>
              <w:t>ryd, restrykcyjne przestrzeganie wymogów bhp</w:t>
            </w:r>
          </w:p>
        </w:tc>
      </w:tr>
      <w:tr w:rsidR="00962C48" w:rsidRPr="00962C48" w14:paraId="0A6F1A3E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4134F8AE" w14:textId="77777777" w:rsidR="003B1580" w:rsidRPr="00962C48" w:rsidRDefault="003B1580" w:rsidP="003B1580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834F4CB" w14:textId="77777777" w:rsidR="003B1580" w:rsidRPr="00946EE8" w:rsidRDefault="003B1580" w:rsidP="003B1580">
            <w:pPr>
              <w:jc w:val="center"/>
              <w:rPr>
                <w:color w:val="1F4E79" w:themeColor="accent1" w:themeShade="80"/>
                <w:sz w:val="18"/>
                <w:szCs w:val="18"/>
              </w:rPr>
            </w:pPr>
            <w:r w:rsidRPr="00946EE8">
              <w:rPr>
                <w:color w:val="1F4E79" w:themeColor="accent1" w:themeShade="80"/>
                <w:sz w:val="18"/>
                <w:szCs w:val="18"/>
              </w:rPr>
              <w:t>Dobrostan</w:t>
            </w:r>
          </w:p>
          <w:p w14:paraId="129FD176" w14:textId="77777777" w:rsidR="00913C09" w:rsidRPr="00946EE8" w:rsidRDefault="00913C09" w:rsidP="003B1580">
            <w:pPr>
              <w:jc w:val="center"/>
              <w:rPr>
                <w:rFonts w:cs="Arial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18335ACF" w14:textId="77777777" w:rsidR="003B1580" w:rsidRPr="00A45640" w:rsidRDefault="0077331F" w:rsidP="00557B79">
            <w:pPr>
              <w:pStyle w:val="Default"/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</w:pPr>
            <w:r w:rsidRPr="00A45640"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  <w:t>Standardowe stosowanie acetamiprydu w leśnictwie może mieć pośredni wpływ na dobrostan pracowników poprzez</w:t>
            </w:r>
            <w:r w:rsidR="00423ABD" w:rsidRPr="00A45640"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  <w:t xml:space="preserve"> generowanie stresu związanego z  koniecznością</w:t>
            </w:r>
            <w:r w:rsidR="00A45640"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45640"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  <w:t>korzystania z samolotu, ciężar</w:t>
            </w:r>
            <w:r w:rsidR="00423ABD" w:rsidRPr="00A45640"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  <w:t xml:space="preserve"> naziemnego</w:t>
            </w:r>
            <w:r w:rsidRPr="00A45640"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  <w:t xml:space="preserve"> sprzętu do opryskiwania lub przegrzanie w wyniku noszenia środków ochrony osobistej. Ponadto pracownicy muszą mieć dostęp do czystej wody do mycia i picia.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52F80DC" w14:textId="77777777" w:rsidR="0077331F" w:rsidRPr="00946EE8" w:rsidRDefault="0077331F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Monitorowanie samopoczucia pracowników stosujących pestycyd zawierający acetamipiryd. Zapewnienie w</w:t>
            </w:r>
            <w:r w:rsidR="00F65EE8">
              <w:rPr>
                <w:rFonts w:cs="Arial"/>
                <w:color w:val="1F4E79" w:themeColor="accent1" w:themeShade="80"/>
                <w:sz w:val="20"/>
                <w:szCs w:val="20"/>
              </w:rPr>
              <w:t>ygodnych środków ochrony osobistej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oraz swobodny dostęp do czystej wody.</w:t>
            </w:r>
          </w:p>
        </w:tc>
      </w:tr>
      <w:tr w:rsidR="00962C48" w:rsidRPr="00962C48" w14:paraId="4C003102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634E7757" w14:textId="77777777" w:rsidR="00913C09" w:rsidRPr="00962C48" w:rsidRDefault="00913C09" w:rsidP="00913C09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544534FF" w14:textId="77777777" w:rsidR="00913C09" w:rsidRPr="00946EE8" w:rsidRDefault="00913C09" w:rsidP="00913C09">
            <w:pPr>
              <w:jc w:val="center"/>
              <w:rPr>
                <w:rFonts w:cs="Arial"/>
                <w:color w:val="1F4E79" w:themeColor="accent1" w:themeShade="80"/>
                <w:sz w:val="18"/>
                <w:szCs w:val="18"/>
              </w:rPr>
            </w:pPr>
            <w:r w:rsidRPr="00946EE8">
              <w:rPr>
                <w:color w:val="1F4E79" w:themeColor="accent1" w:themeShade="80"/>
                <w:sz w:val="18"/>
                <w:szCs w:val="18"/>
              </w:rPr>
              <w:t>Żywność i woda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E0F0628" w14:textId="77777777" w:rsidR="00913C09" w:rsidRPr="00946EE8" w:rsidRDefault="002C4BBB" w:rsidP="000C656F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Standardowe stosowanie acetamiprydu może</w:t>
            </w:r>
            <w:r w:rsidR="0077331F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zanieczyścić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żywność leśną i wodę.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16C1F79" w14:textId="77777777" w:rsidR="00913C09" w:rsidRPr="00946EE8" w:rsidRDefault="002C4BBB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Stosowanie w porze roku w której nie ma żadnych jadalnych owoców lub grzybów. Strategia minimalizowania ryzyka </w:t>
            </w:r>
            <w:r w:rsidR="0077331F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zanieczyszczenia </w:t>
            </w:r>
            <w:r w:rsidR="00BE1168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wody i żywności leśnej</w:t>
            </w:r>
            <w:r w:rsidR="000C20CD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została omówiona powyżej.</w:t>
            </w:r>
            <w:r w:rsidR="00261BFD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Nadleśnictwa prowadzą działalność informacyjno – edukacyjną w postaci m.in. zamieszczenia informacji na </w:t>
            </w:r>
            <w:r w:rsidR="00261BFD">
              <w:rPr>
                <w:rFonts w:cs="Arial"/>
                <w:color w:val="1F4E79" w:themeColor="accent1" w:themeShade="80"/>
                <w:sz w:val="20"/>
                <w:szCs w:val="20"/>
              </w:rPr>
              <w:lastRenderedPageBreak/>
              <w:t>stronach internetowych, na tablicach ogłoszeń, przy drogach wjazdowych do lasu, za pomocą lokalnych mediów, informując pisemnie urzędy, koła pszczelarzy itp.</w:t>
            </w:r>
          </w:p>
        </w:tc>
      </w:tr>
      <w:tr w:rsidR="00962C48" w:rsidRPr="00962C48" w14:paraId="58DBD127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3E650194" w14:textId="77777777" w:rsidR="00913C09" w:rsidRPr="00962C48" w:rsidRDefault="00913C09" w:rsidP="00913C09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3FA5B2A" w14:textId="77777777" w:rsidR="00913C09" w:rsidRPr="00946EE8" w:rsidRDefault="00913C09" w:rsidP="00913C09">
            <w:pPr>
              <w:jc w:val="center"/>
              <w:rPr>
                <w:rFonts w:cs="Arial"/>
                <w:color w:val="1F4E79" w:themeColor="accent1" w:themeShade="80"/>
                <w:sz w:val="18"/>
                <w:szCs w:val="18"/>
              </w:rPr>
            </w:pPr>
            <w:r w:rsidRPr="00946EE8">
              <w:rPr>
                <w:color w:val="1F4E79" w:themeColor="accent1" w:themeShade="80"/>
                <w:sz w:val="18"/>
                <w:szCs w:val="18"/>
              </w:rPr>
              <w:t>Infrastruktura społeczna; (szkoły i szpitale, infrastruktura rekreacyjna, infrastruktura przyległa do jednostki gospodarowania)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6883046" w14:textId="77777777" w:rsidR="00913C09" w:rsidRPr="00946EE8" w:rsidRDefault="00913C09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1B0DB59" w14:textId="77777777" w:rsidR="00913C09" w:rsidRPr="00946EE8" w:rsidRDefault="00913C09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Nie dotyczy</w:t>
            </w:r>
          </w:p>
        </w:tc>
      </w:tr>
      <w:tr w:rsidR="00962C48" w:rsidRPr="00962C48" w14:paraId="7CF6FA5B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03F3AD9F" w14:textId="77777777" w:rsidR="00913C09" w:rsidRPr="00962C48" w:rsidRDefault="00913C09" w:rsidP="00913C09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658682E" w14:textId="77777777" w:rsidR="00913C09" w:rsidRPr="00946EE8" w:rsidRDefault="00913C09" w:rsidP="00913C09">
            <w:pPr>
              <w:jc w:val="center"/>
              <w:rPr>
                <w:rFonts w:cs="Arial"/>
                <w:color w:val="1F4E79" w:themeColor="accent1" w:themeShade="80"/>
                <w:sz w:val="18"/>
                <w:szCs w:val="18"/>
              </w:rPr>
            </w:pPr>
            <w:r w:rsidRPr="00946EE8">
              <w:rPr>
                <w:color w:val="1F4E79" w:themeColor="accent1" w:themeShade="80"/>
                <w:sz w:val="18"/>
                <w:szCs w:val="18"/>
              </w:rPr>
              <w:t>Rentowność (rolnictwo, zwierzęta hodowlane,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8A1881F" w14:textId="77777777" w:rsidR="00913C09" w:rsidRPr="00946EE8" w:rsidRDefault="002C4BBB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Stosowanie acetamiprydu może potencjalnie wpływać na niektóre przedsiębio</w:t>
            </w:r>
            <w:r w:rsidR="008101AF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rstwa wykorzystujące wodę (np. h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odowle ryb) lub na zaopatrzenie przedsiębiorstw w wodę (takich jak browary lub gorzelnie).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7EFFE2D" w14:textId="77777777" w:rsidR="008101AF" w:rsidRPr="00946EE8" w:rsidRDefault="008101AF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Strategia minimalizowania ryzyka zanieczyszczenia wody została omówiona powyżej.</w:t>
            </w:r>
          </w:p>
        </w:tc>
      </w:tr>
      <w:tr w:rsidR="00962C48" w:rsidRPr="00962C48" w14:paraId="7721A3BE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29EF787C" w14:textId="77777777" w:rsidR="00913C09" w:rsidRPr="00962C48" w:rsidRDefault="00913C09" w:rsidP="00913C09">
            <w:pPr>
              <w:spacing w:line="480" w:lineRule="auto"/>
              <w:jc w:val="center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2EDF799" w14:textId="77777777" w:rsidR="00913C09" w:rsidRPr="00946EE8" w:rsidRDefault="00913C09" w:rsidP="00913C09">
            <w:pPr>
              <w:jc w:val="center"/>
              <w:rPr>
                <w:rFonts w:cs="Arial"/>
                <w:color w:val="1F4E79" w:themeColor="accent1" w:themeShade="80"/>
                <w:sz w:val="18"/>
                <w:szCs w:val="18"/>
              </w:rPr>
            </w:pPr>
            <w:r w:rsidRPr="00946EE8">
              <w:rPr>
                <w:color w:val="1F4E79" w:themeColor="accent1" w:themeShade="80"/>
                <w:sz w:val="18"/>
                <w:szCs w:val="18"/>
              </w:rPr>
              <w:t>Prawa (ustanowione i zwyczajowe)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E409E85" w14:textId="77777777" w:rsidR="00913C09" w:rsidRPr="00946EE8" w:rsidRDefault="002C4BBB" w:rsidP="00CC29B1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Standardowe stosowanie acetamiprydu w lasach może prowadzić do faktycznego lub domniemanego ograniczenia praw dostępu</w:t>
            </w:r>
            <w:r w:rsidR="000C656F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do lasu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. Używanie acetamiprydu może potencjalnie wpływać na prawa do niezanieczyszczonej wody.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00E2A68" w14:textId="77777777" w:rsidR="008101AF" w:rsidRPr="00946EE8" w:rsidRDefault="008101AF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Ograniczenie</w:t>
            </w:r>
            <w:r w:rsidR="006D6DF5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dostępu publicznego </w:t>
            </w:r>
            <w:r w:rsidR="000C656F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do lasu 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powinno być </w:t>
            </w:r>
            <w:r w:rsidR="006D6DF5"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zredukowane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do mini</w:t>
            </w:r>
            <w:r w:rsidR="004020CC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malnego zakresu i czasu trwania. </w:t>
            </w:r>
            <w:r w:rsidR="00261BFD">
              <w:rPr>
                <w:rFonts w:cs="Arial"/>
                <w:color w:val="1F4E79" w:themeColor="accent1" w:themeShade="80"/>
                <w:sz w:val="20"/>
                <w:szCs w:val="20"/>
              </w:rPr>
              <w:t>Działalność informacyjno – edukacyjną opisano powyżej.</w:t>
            </w: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6A7DCCAB" w14:textId="77777777" w:rsidR="008101AF" w:rsidRPr="00946EE8" w:rsidRDefault="006D6DF5" w:rsidP="00DA0DF8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946EE8">
              <w:rPr>
                <w:rFonts w:cs="Arial"/>
                <w:color w:val="1F4E79" w:themeColor="accent1" w:themeShade="80"/>
                <w:sz w:val="20"/>
                <w:szCs w:val="20"/>
              </w:rPr>
              <w:t>Strategia minimalizowania ryzyka zanieczyszczenia wody została omówiona powyżej.</w:t>
            </w:r>
          </w:p>
        </w:tc>
      </w:tr>
      <w:tr w:rsidR="00962C48" w:rsidRPr="00962C48" w14:paraId="4A304950" w14:textId="77777777" w:rsidTr="00CC29B1">
        <w:trPr>
          <w:trHeight w:val="567"/>
        </w:trPr>
        <w:tc>
          <w:tcPr>
            <w:tcW w:w="1411" w:type="dxa"/>
            <w:shd w:val="clear" w:color="auto" w:fill="488FB4"/>
            <w:vAlign w:val="center"/>
          </w:tcPr>
          <w:p w14:paraId="6093B83E" w14:textId="77777777" w:rsidR="00913C09" w:rsidRPr="00962C48" w:rsidRDefault="00913C09" w:rsidP="00913C09">
            <w:pPr>
              <w:spacing w:line="480" w:lineRule="auto"/>
              <w:rPr>
                <w:rFonts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E10050E" w14:textId="77777777" w:rsidR="00913C09" w:rsidRPr="00962C48" w:rsidRDefault="00913C09" w:rsidP="00913C09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2C48">
              <w:rPr>
                <w:color w:val="2F5496" w:themeColor="accent5" w:themeShade="BF"/>
                <w:sz w:val="18"/>
                <w:szCs w:val="18"/>
              </w:rPr>
              <w:t>Pozostałe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79EBE74" w14:textId="77777777" w:rsidR="00557B79" w:rsidRPr="006D6DF5" w:rsidRDefault="006D6DF5" w:rsidP="00557B79">
            <w:pPr>
              <w:pStyle w:val="Default"/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</w:pPr>
            <w:r w:rsidRPr="006D6DF5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>NAJWAŻNIEJSZE ZALETY STOSOWANIA PESTYCYDÓW ZAWIERAJĄCYCH ACETAMIPRYD</w:t>
            </w:r>
            <w:r w:rsidR="00557B79" w:rsidRPr="006D6DF5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>:</w:t>
            </w:r>
          </w:p>
          <w:p w14:paraId="4FFD5636" w14:textId="77777777" w:rsidR="00557B79" w:rsidRPr="006D6DF5" w:rsidRDefault="00557B79" w:rsidP="00557B79">
            <w:pPr>
              <w:pStyle w:val="Default"/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</w:pPr>
            <w:r w:rsidRPr="006D6DF5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>Zabiegi ograniczające wobec imagines (owadów doskonałych) chrabąszczy pozwolą istotnie  rozrzedzić liczebności przyszłych pędraków, a tym samym zmniejszyć wielkości powierzchni zagrożonych i uzyskać trwałe odnowienie lasu. Przeprowadzenie zabiegów przy użyciu techniki lotniczej podyktowane jest brakiem możliwości użycia aparatury naziemnej n</w:t>
            </w:r>
            <w:r w:rsidR="00F65EE8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 xml:space="preserve">a </w:t>
            </w:r>
            <w:r w:rsidRPr="006D6DF5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>ro</w:t>
            </w:r>
            <w:r w:rsidR="00F65EE8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 xml:space="preserve">zległym </w:t>
            </w:r>
            <w:r w:rsidRPr="006D6DF5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>obszarze. Wykorzystanie lotniczej aparatury ULV umożliwi wykonanie zabiegu na tak znacznej powierzchni we właściwym terminie, na odpowiednie stadia rozwojowe owadów, co zapewni najwyższą skuteczność środka w ograniczaniu liczebności populacji owadów. Zabieg  zapewnia minimalny wpływ na otaczającą biocenozę. Wykorzystanie aparatury agrolotniczej pozwala wprowadzić środek ochrony roślin bezpośrednio</w:t>
            </w:r>
            <w:r w:rsidRPr="006D6DF5">
              <w:rPr>
                <w:sz w:val="20"/>
                <w:szCs w:val="20"/>
              </w:rPr>
              <w:t xml:space="preserve"> </w:t>
            </w:r>
            <w:r w:rsidRPr="006D6DF5">
              <w:rPr>
                <w:rFonts w:asciiTheme="minorHAnsi" w:hAnsiTheme="minorHAnsi"/>
                <w:color w:val="2F5496" w:themeColor="accent5" w:themeShade="BF"/>
                <w:sz w:val="20"/>
                <w:szCs w:val="20"/>
              </w:rPr>
              <w:t>w korony, co nie zawsze jest możliwe przy użyciu sprzętu naziemnego.</w:t>
            </w:r>
          </w:p>
          <w:p w14:paraId="44E128F0" w14:textId="77777777" w:rsidR="00557B79" w:rsidRDefault="00557B79" w:rsidP="00CC29B1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  <w:p w14:paraId="0CEC586E" w14:textId="77777777" w:rsidR="00913C09" w:rsidRPr="00962C48" w:rsidRDefault="00913C09" w:rsidP="00AA3BCA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209343F" w14:textId="77777777" w:rsidR="00F65EE8" w:rsidRDefault="00F65EE8" w:rsidP="00DA0DF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  <w:p w14:paraId="16264F3F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WARUNKI PRZECHOWYWANIA I BEZPIECZNEGO USUWANIA ŚRODKA OCHRONY</w:t>
            </w:r>
          </w:p>
          <w:p w14:paraId="56BAEF1D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ROŚLIN I OPAKOWANIA</w:t>
            </w:r>
          </w:p>
          <w:p w14:paraId="5C741376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Chronić przed dziećmi.</w:t>
            </w:r>
          </w:p>
          <w:p w14:paraId="6C1B6D3B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Środek ochrony roślin przechowywać:</w:t>
            </w:r>
          </w:p>
          <w:p w14:paraId="733A68B1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− w miejscach lub obiektach, w których zastosowano odpowiednie ro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związania zabezpieczające przed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skażeniem środowiska oraz dostępem osób trzecich,</w:t>
            </w:r>
          </w:p>
          <w:p w14:paraId="22CF3CAC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− w oryginalnych opakowaniach, w sposób uniemożliwiający kontakt z żywnością, napojami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lub paszą,</w:t>
            </w:r>
          </w:p>
          <w:p w14:paraId="03575B65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− w temperaturze nie niższej niż 0ºC i nie wyższej niż 30ºC, z dala od źródeł ciepła.</w:t>
            </w:r>
          </w:p>
          <w:p w14:paraId="4959DB0D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Chronić przed dostępem wilgoci. Chronić przed bezpośrednim nasłonecznieniem.</w:t>
            </w:r>
          </w:p>
          <w:p w14:paraId="173565C1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Zabrania się wykorzystywania opróżnionych opakowań po śr</w:t>
            </w:r>
            <w:r w:rsidR="00D9564F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odkach ochrony roślin do innych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celów.</w:t>
            </w:r>
          </w:p>
          <w:p w14:paraId="768D6365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Niewykorzystany środek przekazać do podmiotu uprawnionego do odbierania odpadów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niebezpiecznych.</w:t>
            </w:r>
          </w:p>
          <w:p w14:paraId="292B0211" w14:textId="77777777" w:rsidR="00F65EE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Opróżnione opakowania 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po środku zwrócić do sprzedawcy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środków ochrony roślin będących</w:t>
            </w:r>
            <w:r>
              <w:rPr>
                <w:rFonts w:cs="Arial"/>
                <w:color w:val="2F5496" w:themeColor="accent5" w:themeShade="BF"/>
                <w:sz w:val="20"/>
                <w:szCs w:val="20"/>
              </w:rPr>
              <w:t xml:space="preserve"> środkami </w:t>
            </w:r>
            <w:r w:rsidRPr="00962C48">
              <w:rPr>
                <w:rFonts w:cs="Arial"/>
                <w:color w:val="2F5496" w:themeColor="accent5" w:themeShade="BF"/>
                <w:sz w:val="20"/>
                <w:szCs w:val="20"/>
              </w:rPr>
              <w:t>niebezpiecznymi.</w:t>
            </w:r>
          </w:p>
          <w:p w14:paraId="71FB2110" w14:textId="77777777" w:rsidR="00F65EE8" w:rsidRPr="00962C48" w:rsidRDefault="00F65EE8" w:rsidP="00F65EE8">
            <w:pPr>
              <w:rPr>
                <w:rFonts w:cs="Arial"/>
                <w:color w:val="2F5496" w:themeColor="accent5" w:themeShade="BF"/>
                <w:sz w:val="20"/>
                <w:szCs w:val="20"/>
              </w:rPr>
            </w:pPr>
          </w:p>
        </w:tc>
      </w:tr>
    </w:tbl>
    <w:p w14:paraId="39796E7C" w14:textId="77777777" w:rsidR="00552E01" w:rsidRPr="005D1758" w:rsidRDefault="00552E01" w:rsidP="00F207AC">
      <w:pPr>
        <w:rPr>
          <w:b/>
          <w:bCs/>
        </w:rPr>
        <w:sectPr w:rsidR="00552E01" w:rsidRPr="005D1758" w:rsidSect="003B4A5B">
          <w:pgSz w:w="16838" w:h="11906" w:orient="landscape"/>
          <w:pgMar w:top="709" w:right="1417" w:bottom="1135" w:left="1417" w:header="708" w:footer="708" w:gutter="0"/>
          <w:cols w:space="708"/>
          <w:docGrid w:linePitch="360"/>
        </w:sectPr>
      </w:pPr>
    </w:p>
    <w:p w14:paraId="02905E85" w14:textId="77777777" w:rsidR="0046726D" w:rsidRPr="005D1758" w:rsidRDefault="0046726D" w:rsidP="00397A18">
      <w:pPr>
        <w:spacing w:after="0"/>
        <w:rPr>
          <w:b/>
          <w:bCs/>
        </w:rPr>
      </w:pPr>
      <w:r w:rsidRPr="005D1758">
        <w:rPr>
          <w:b/>
          <w:bCs/>
        </w:rPr>
        <w:lastRenderedPageBreak/>
        <w:t>Opisując, w powyższej tabeli, strategie łagodzące, uwzględnia się następujący</w:t>
      </w:r>
    </w:p>
    <w:p w14:paraId="7786D520" w14:textId="77777777" w:rsidR="0046726D" w:rsidRPr="005D1758" w:rsidRDefault="0046726D" w:rsidP="00397A18">
      <w:pPr>
        <w:spacing w:after="0"/>
        <w:rPr>
          <w:b/>
          <w:bCs/>
        </w:rPr>
      </w:pPr>
      <w:r w:rsidRPr="005D1758">
        <w:rPr>
          <w:b/>
          <w:bCs/>
        </w:rPr>
        <w:t>minimalny wykaz zmiennych ekspozycji:</w:t>
      </w:r>
      <w:r w:rsidR="00AD0083" w:rsidRPr="005D1758">
        <w:rPr>
          <w:b/>
          <w:bCs/>
        </w:rPr>
        <w:t xml:space="preserve"> </w:t>
      </w:r>
    </w:p>
    <w:p w14:paraId="0AAB3167" w14:textId="77777777" w:rsidR="00C37558" w:rsidRPr="005D1758" w:rsidRDefault="0046726D" w:rsidP="00C37558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Formuła pestycydu (rodzaj i składniki).</w:t>
      </w:r>
    </w:p>
    <w:p w14:paraId="649301E0" w14:textId="77777777" w:rsidR="00C37558" w:rsidRPr="005D1758" w:rsidRDefault="00C37558" w:rsidP="00C37558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Mieszanina składników czynnych (skład i proces mieszania).</w:t>
      </w:r>
    </w:p>
    <w:p w14:paraId="76BBD6D2" w14:textId="77777777" w:rsidR="006636D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Stężenie składników czynnych.</w:t>
      </w:r>
    </w:p>
    <w:p w14:paraId="1F2D3E70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Dawka składników czynnych.</w:t>
      </w:r>
    </w:p>
    <w:p w14:paraId="25C103D0" w14:textId="77777777" w:rsidR="00C37558" w:rsidRPr="005D1758" w:rsidRDefault="0046726D" w:rsidP="00C37558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Częstotliwość stosowania i odstępy pomiędzy stosowaniem.</w:t>
      </w:r>
    </w:p>
    <w:p w14:paraId="78BC1415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Skala obszaru poddanego działaniu.</w:t>
      </w:r>
    </w:p>
    <w:p w14:paraId="625B5B71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Metoda aplikacji (np.miejscowa, dolistna, oprysk, oprys</w:t>
      </w:r>
      <w:r w:rsidR="00316A95">
        <w:rPr>
          <w:b/>
          <w:bCs/>
        </w:rPr>
        <w:t>k</w:t>
      </w:r>
      <w:r w:rsidRPr="005D1758">
        <w:rPr>
          <w:b/>
          <w:bCs/>
        </w:rPr>
        <w:t xml:space="preserve"> z powietrza)</w:t>
      </w:r>
    </w:p>
    <w:p w14:paraId="65CFFAF4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System i urządzenie służące do aplikacji (np. opryskiwacz w plecaku,</w:t>
      </w:r>
    </w:p>
    <w:p w14:paraId="76DB5AF9" w14:textId="77777777" w:rsidR="0046726D" w:rsidRPr="005D1758" w:rsidRDefault="0046726D" w:rsidP="002E07FF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śmigłowiec, dron, samolot)</w:t>
      </w:r>
    </w:p>
    <w:p w14:paraId="583DF7B8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Liczba dotychczasowych aplikacji.</w:t>
      </w:r>
    </w:p>
    <w:p w14:paraId="5C553205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Metabolity substancji czynnej.</w:t>
      </w:r>
    </w:p>
    <w:p w14:paraId="4B6CE466" w14:textId="77777777" w:rsidR="0046726D" w:rsidRPr="00A44BDA" w:rsidRDefault="0046726D" w:rsidP="005F3C5E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A44BDA">
        <w:rPr>
          <w:b/>
          <w:bCs/>
        </w:rPr>
        <w:t>Możliwości i umiejętności pracowników (uprawnienie do stosowania</w:t>
      </w:r>
      <w:r w:rsidR="00A44BDA">
        <w:rPr>
          <w:b/>
          <w:bCs/>
        </w:rPr>
        <w:t xml:space="preserve"> </w:t>
      </w:r>
      <w:r w:rsidRPr="00A44BDA">
        <w:rPr>
          <w:b/>
          <w:bCs/>
        </w:rPr>
        <w:t>pestycydów, szkolenie, umiejętność czytania i rozumienia etykiet i instrukcji).</w:t>
      </w:r>
    </w:p>
    <w:p w14:paraId="2B82FD30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Środki ochrony osobistej.</w:t>
      </w:r>
    </w:p>
    <w:p w14:paraId="5B37F600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Sprzęt ratunkowy (np. zestawy do pierwszej pomocy, zestawy do zbierania</w:t>
      </w:r>
    </w:p>
    <w:p w14:paraId="0CE5367E" w14:textId="77777777" w:rsidR="0046726D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wycieków).</w:t>
      </w:r>
    </w:p>
    <w:p w14:paraId="5068471B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Warunki na danym obszarze (np. rodzaj gleby, topografia terenu).</w:t>
      </w:r>
    </w:p>
    <w:p w14:paraId="4B7CADA6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Przewidywane warunki pogodowe i klimatyczne (np. prędkość i kierunek</w:t>
      </w:r>
    </w:p>
    <w:p w14:paraId="091EA727" w14:textId="77777777" w:rsidR="0046726D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wiatru, temperatura, wilgotność).</w:t>
      </w:r>
    </w:p>
    <w:p w14:paraId="77FF4195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Znoszenie (tzw. spray drift)</w:t>
      </w:r>
    </w:p>
    <w:p w14:paraId="1683D6BC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Systemy gospodarki odpadami.</w:t>
      </w:r>
    </w:p>
    <w:p w14:paraId="5AD1A976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Informacje dostępne dla sąsiadów na temat aplikacji pestycydów (np. na</w:t>
      </w:r>
    </w:p>
    <w:p w14:paraId="385EF26D" w14:textId="77777777" w:rsidR="0046726D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temat ryzyka związanego ze stosowaniem pestycydów, okresu prewencji po</w:t>
      </w:r>
    </w:p>
    <w:p w14:paraId="2D872248" w14:textId="77777777" w:rsidR="007B568B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stosowaniu).</w:t>
      </w:r>
    </w:p>
    <w:p w14:paraId="343AE01A" w14:textId="77777777" w:rsidR="007029E2" w:rsidRPr="005D1758" w:rsidRDefault="007029E2" w:rsidP="0046726D">
      <w:pPr>
        <w:rPr>
          <w:b/>
          <w:bCs/>
        </w:rPr>
      </w:pPr>
    </w:p>
    <w:p w14:paraId="51B404E9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br/>
      </w:r>
    </w:p>
    <w:p w14:paraId="022D32B8" w14:textId="77777777" w:rsidR="007029E2" w:rsidRPr="005D1758" w:rsidRDefault="007029E2">
      <w:pPr>
        <w:rPr>
          <w:b/>
          <w:bCs/>
        </w:rPr>
      </w:pPr>
    </w:p>
    <w:p w14:paraId="1AFF68AE" w14:textId="77777777" w:rsidR="007029E2" w:rsidRPr="005D1758" w:rsidRDefault="007029E2" w:rsidP="0046726D">
      <w:pPr>
        <w:rPr>
          <w:b/>
          <w:bCs/>
        </w:rPr>
        <w:sectPr w:rsidR="007029E2" w:rsidRPr="005D175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5F98A7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lastRenderedPageBreak/>
        <w:t>Część III</w:t>
      </w:r>
    </w:p>
    <w:p w14:paraId="15702D6A" w14:textId="77777777" w:rsidR="007752A1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 xml:space="preserve">Tabela 2. Ramy oceny ryzyka środowiskowego i społecznego (ORŚIS) </w:t>
      </w:r>
    </w:p>
    <w:p w14:paraId="0B8B00D2" w14:textId="77777777" w:rsidR="007029E2" w:rsidRPr="005D1758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>(</w:t>
      </w:r>
      <w:r w:rsidR="00F37C0C" w:rsidRPr="005D1758">
        <w:rPr>
          <w:b/>
          <w:bCs/>
        </w:rPr>
        <w:t xml:space="preserve">część </w:t>
      </w:r>
      <w:r w:rsidR="006E5ECF" w:rsidRPr="005D1758">
        <w:rPr>
          <w:b/>
          <w:bCs/>
        </w:rPr>
        <w:t xml:space="preserve">dla posiadacza certyfikatu, jednostki gospodarowania </w:t>
      </w:r>
      <w:r w:rsidRPr="005D1758">
        <w:rPr>
          <w:b/>
          <w:bCs/>
        </w:rPr>
        <w:t>)</w:t>
      </w:r>
    </w:p>
    <w:tbl>
      <w:tblPr>
        <w:tblStyle w:val="Tabela-Siatka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1562"/>
        <w:gridCol w:w="1569"/>
        <w:gridCol w:w="2182"/>
        <w:gridCol w:w="1982"/>
        <w:gridCol w:w="2911"/>
      </w:tblGrid>
      <w:tr w:rsidR="006E5ECF" w:rsidRPr="005D1758" w14:paraId="31D5FAEE" w14:textId="77777777" w:rsidTr="007752A1">
        <w:tc>
          <w:tcPr>
            <w:tcW w:w="4248" w:type="dxa"/>
          </w:tcPr>
          <w:p w14:paraId="6EAB2C70" w14:textId="77777777" w:rsidR="006E5ECF" w:rsidRPr="00962C48" w:rsidRDefault="006E5ECF" w:rsidP="00F37C0C">
            <w:pPr>
              <w:jc w:val="center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ZADANIA</w:t>
            </w:r>
          </w:p>
        </w:tc>
        <w:tc>
          <w:tcPr>
            <w:tcW w:w="1562" w:type="dxa"/>
          </w:tcPr>
          <w:p w14:paraId="37D4AEB6" w14:textId="77777777" w:rsidR="006E5ECF" w:rsidRPr="00962C48" w:rsidRDefault="006E5ECF" w:rsidP="00F37C0C">
            <w:pPr>
              <w:jc w:val="center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PODMIOT ODPOWIEDZIALNY</w:t>
            </w:r>
          </w:p>
        </w:tc>
        <w:tc>
          <w:tcPr>
            <w:tcW w:w="1569" w:type="dxa"/>
          </w:tcPr>
          <w:p w14:paraId="753F56DA" w14:textId="77777777" w:rsidR="006E5ECF" w:rsidRPr="00962C48" w:rsidRDefault="006E5ECF" w:rsidP="00F37C0C">
            <w:pPr>
              <w:jc w:val="center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RODZAJ OCENIANYCH PESTYCYDÓW</w:t>
            </w:r>
          </w:p>
        </w:tc>
        <w:tc>
          <w:tcPr>
            <w:tcW w:w="2182" w:type="dxa"/>
          </w:tcPr>
          <w:p w14:paraId="19F3E820" w14:textId="77777777" w:rsidR="006E5ECF" w:rsidRPr="00962C48" w:rsidRDefault="006E5ECF" w:rsidP="00F37C0C">
            <w:pPr>
              <w:jc w:val="center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CEL</w:t>
            </w:r>
          </w:p>
        </w:tc>
        <w:tc>
          <w:tcPr>
            <w:tcW w:w="1982" w:type="dxa"/>
          </w:tcPr>
          <w:p w14:paraId="3D1CE213" w14:textId="77777777" w:rsidR="006E5ECF" w:rsidRPr="00962C48" w:rsidRDefault="006E5ECF" w:rsidP="00F37C0C">
            <w:pPr>
              <w:jc w:val="center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CZĘSTOTLIWOŚĆ</w:t>
            </w:r>
          </w:p>
        </w:tc>
        <w:tc>
          <w:tcPr>
            <w:tcW w:w="2911" w:type="dxa"/>
          </w:tcPr>
          <w:p w14:paraId="1819D390" w14:textId="77777777" w:rsidR="006E5ECF" w:rsidRPr="00962C48" w:rsidRDefault="006E5ECF" w:rsidP="00F37C0C">
            <w:pPr>
              <w:jc w:val="center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WYMAGANIA DOTYCZĄCE ZAANGAŻOWANIA</w:t>
            </w:r>
          </w:p>
        </w:tc>
      </w:tr>
      <w:tr w:rsidR="006E5ECF" w:rsidRPr="005D1758" w14:paraId="4B5D2DC3" w14:textId="77777777" w:rsidTr="007752A1">
        <w:tc>
          <w:tcPr>
            <w:tcW w:w="14454" w:type="dxa"/>
            <w:gridSpan w:val="6"/>
            <w:shd w:val="clear" w:color="auto" w:fill="488FB4"/>
          </w:tcPr>
          <w:p w14:paraId="7908381A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Poziom jednostki gospodarowania</w:t>
            </w:r>
          </w:p>
        </w:tc>
      </w:tr>
      <w:tr w:rsidR="006E5ECF" w:rsidRPr="005D1758" w14:paraId="6D67951A" w14:textId="77777777" w:rsidTr="007752A1">
        <w:tc>
          <w:tcPr>
            <w:tcW w:w="4248" w:type="dxa"/>
          </w:tcPr>
          <w:p w14:paraId="50B17678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 xml:space="preserve">Przeprowadzenie oceny ryzyka w ramach systemu zintegrowanej </w:t>
            </w:r>
            <w:bookmarkStart w:id="0" w:name="_Hlk531702827"/>
            <w:r w:rsidRPr="00962C48">
              <w:rPr>
                <w:color w:val="385623" w:themeColor="accent6" w:themeShade="80"/>
              </w:rPr>
              <w:t>ochrony przed szkodnikami</w:t>
            </w:r>
            <w:r w:rsidRPr="00962C48">
              <w:rPr>
                <w:color w:val="385623" w:themeColor="accent6" w:themeShade="80"/>
                <w:sz w:val="21"/>
                <w:szCs w:val="21"/>
              </w:rPr>
              <w:t xml:space="preserve"> (ZOPS) zgodnie z SIR (w tym systemów stosowanych w obiektach lub do celów badawczych)</w:t>
            </w:r>
            <w:bookmarkEnd w:id="0"/>
            <w:r w:rsidRPr="00962C48">
              <w:rPr>
                <w:color w:val="385623" w:themeColor="accent6" w:themeShade="80"/>
                <w:sz w:val="21"/>
                <w:szCs w:val="21"/>
              </w:rPr>
              <w:t>.</w:t>
            </w:r>
          </w:p>
          <w:p w14:paraId="431AB143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PC mogą używać wzoru ORŚIS do wypełnienia tej oceny na poziomie JG lub wykazać, że wymogi ORŚIS zostały spełnione, jeśli w firmie są wdrożone inne systemy w celu spełnienia wymogów (bez wypełniania wzoru). Na podobnych warunkach, oceny RŚIS mogą być przenoszone z jednego posiadacza certyfikatu na innego na poziomie krajowym.</w:t>
            </w:r>
          </w:p>
          <w:p w14:paraId="720F1EBE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Zachowanie zgodności z obowiązującymi międzynarodowymi i krajowymi wskaźnikami i progami dotyczącymi stosowania WNP.</w:t>
            </w:r>
          </w:p>
        </w:tc>
        <w:tc>
          <w:tcPr>
            <w:tcW w:w="1562" w:type="dxa"/>
          </w:tcPr>
          <w:p w14:paraId="491B6332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Posiadacze certyfikatów (PC)</w:t>
            </w:r>
          </w:p>
        </w:tc>
        <w:tc>
          <w:tcPr>
            <w:tcW w:w="1569" w:type="dxa"/>
          </w:tcPr>
          <w:p w14:paraId="3AB95EE3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Wszystkie pestycydy syntetyczne</w:t>
            </w:r>
          </w:p>
          <w:p w14:paraId="747A0F9D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</w:p>
          <w:p w14:paraId="09B6027C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182" w:type="dxa"/>
          </w:tcPr>
          <w:p w14:paraId="2689F9AF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Określenie najmniej ryzykownej opcji zwalczania szkodników, chwastów lub chorób.</w:t>
            </w:r>
          </w:p>
          <w:p w14:paraId="163C6F9D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Określenie dodatkowych lub szczególnych środków łagodzących wymaganych do kontrolowania ryzyka typowego dla JG/oddziału.</w:t>
            </w:r>
          </w:p>
          <w:p w14:paraId="2792A6FD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Wsparcie GOS dla ORŚIS jeśli używany jest wzór ORŚIS.</w:t>
            </w:r>
          </w:p>
          <w:p w14:paraId="401D004B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1982" w:type="dxa"/>
          </w:tcPr>
          <w:p w14:paraId="33A1028E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Przegląd i rewizja w razie potrzeby, w pięcioletnim cyklu certyfikacji.</w:t>
            </w:r>
          </w:p>
        </w:tc>
        <w:tc>
          <w:tcPr>
            <w:tcW w:w="2911" w:type="dxa"/>
          </w:tcPr>
          <w:p w14:paraId="42EBDC19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 xml:space="preserve">Zgodnie z wymogami dotyczącymi zaangażowania interesariuszy w spełnianie odpowiedniego standardu krajowego.  </w:t>
            </w:r>
          </w:p>
        </w:tc>
      </w:tr>
      <w:tr w:rsidR="006E5ECF" w:rsidRPr="005D1758" w14:paraId="7CBB7EB3" w14:textId="77777777" w:rsidTr="007752A1">
        <w:tc>
          <w:tcPr>
            <w:tcW w:w="14454" w:type="dxa"/>
            <w:gridSpan w:val="6"/>
            <w:shd w:val="clear" w:color="auto" w:fill="488FB4"/>
          </w:tcPr>
          <w:p w14:paraId="39D00779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b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b/>
                <w:color w:val="385623" w:themeColor="accent6" w:themeShade="80"/>
                <w:sz w:val="21"/>
                <w:szCs w:val="21"/>
              </w:rPr>
              <w:t>Poziom oddziału</w:t>
            </w:r>
          </w:p>
        </w:tc>
      </w:tr>
      <w:tr w:rsidR="006E5ECF" w:rsidRPr="005D1758" w14:paraId="4D738EFC" w14:textId="77777777" w:rsidTr="007752A1">
        <w:tc>
          <w:tcPr>
            <w:tcW w:w="4248" w:type="dxa"/>
          </w:tcPr>
          <w:p w14:paraId="3FF89FC0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 xml:space="preserve">Włączenie wyników oceny RŚIS do planów operacyjnych lub zaleceń. </w:t>
            </w:r>
          </w:p>
          <w:p w14:paraId="40155301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Wdrożenie środków łagodzących.</w:t>
            </w:r>
          </w:p>
        </w:tc>
        <w:tc>
          <w:tcPr>
            <w:tcW w:w="1562" w:type="dxa"/>
          </w:tcPr>
          <w:p w14:paraId="0D1E276E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Posiadacze certyfikatów (PC)</w:t>
            </w:r>
          </w:p>
        </w:tc>
        <w:tc>
          <w:tcPr>
            <w:tcW w:w="1569" w:type="dxa"/>
          </w:tcPr>
          <w:p w14:paraId="58DB672C" w14:textId="77777777" w:rsidR="006E5ECF" w:rsidRPr="00962C48" w:rsidRDefault="006E5ECF" w:rsidP="00F37C0C">
            <w:pPr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Wszystkie pestycydy syntetyczne</w:t>
            </w:r>
          </w:p>
        </w:tc>
        <w:tc>
          <w:tcPr>
            <w:tcW w:w="2182" w:type="dxa"/>
          </w:tcPr>
          <w:p w14:paraId="7411F65F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Kontrola ryzyka podczas stosowania pestycydów syntetycznych.</w:t>
            </w:r>
          </w:p>
          <w:p w14:paraId="70259039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1982" w:type="dxa"/>
          </w:tcPr>
          <w:p w14:paraId="6C1AC255" w14:textId="77777777" w:rsidR="006E5ECF" w:rsidRPr="00962C48" w:rsidRDefault="006E5ECF" w:rsidP="00F37C0C">
            <w:pPr>
              <w:widowControl w:val="0"/>
              <w:spacing w:before="80"/>
              <w:rPr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>Związana z czasem trwania operacji.</w:t>
            </w:r>
          </w:p>
          <w:p w14:paraId="599E18CF" w14:textId="77777777" w:rsidR="00F050D7" w:rsidRPr="00962C48" w:rsidRDefault="00F050D7" w:rsidP="00F37C0C">
            <w:pPr>
              <w:widowControl w:val="0"/>
              <w:spacing w:before="80"/>
              <w:rPr>
                <w:color w:val="385623" w:themeColor="accent6" w:themeShade="80"/>
                <w:sz w:val="21"/>
                <w:szCs w:val="21"/>
              </w:rPr>
            </w:pPr>
          </w:p>
          <w:p w14:paraId="212AA6A0" w14:textId="77777777" w:rsidR="00F050D7" w:rsidRPr="00962C48" w:rsidRDefault="00F050D7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911" w:type="dxa"/>
          </w:tcPr>
          <w:p w14:paraId="7C471167" w14:textId="77777777" w:rsidR="006E5ECF" w:rsidRPr="00962C48" w:rsidRDefault="006E5ECF" w:rsidP="00F37C0C">
            <w:pPr>
              <w:widowControl w:val="0"/>
              <w:spacing w:before="80"/>
              <w:rPr>
                <w:rFonts w:cs="Arial"/>
                <w:color w:val="385623" w:themeColor="accent6" w:themeShade="80"/>
                <w:sz w:val="21"/>
                <w:szCs w:val="21"/>
              </w:rPr>
            </w:pPr>
            <w:r w:rsidRPr="00962C48">
              <w:rPr>
                <w:color w:val="385623" w:themeColor="accent6" w:themeShade="80"/>
                <w:sz w:val="21"/>
                <w:szCs w:val="21"/>
              </w:rPr>
              <w:t xml:space="preserve">Zgodnie z wymogami dotyczącymi zaangażowania interesariuszy w spełnianie  odpowiedniego standardu krajowego.  </w:t>
            </w:r>
          </w:p>
        </w:tc>
      </w:tr>
    </w:tbl>
    <w:p w14:paraId="6541290B" w14:textId="77777777" w:rsidR="003713D3" w:rsidRDefault="003713D3" w:rsidP="0046726D">
      <w:pPr>
        <w:rPr>
          <w:b/>
          <w:bCs/>
        </w:rPr>
        <w:sectPr w:rsidR="003713D3" w:rsidSect="007029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FD0807D" w14:textId="77777777" w:rsidR="003713D3" w:rsidRDefault="003713D3" w:rsidP="0046726D">
      <w:pPr>
        <w:rPr>
          <w:b/>
          <w:bCs/>
        </w:rPr>
      </w:pPr>
      <w:r>
        <w:rPr>
          <w:b/>
          <w:bCs/>
        </w:rPr>
        <w:lastRenderedPageBreak/>
        <w:t>Załączniki:</w:t>
      </w:r>
    </w:p>
    <w:p w14:paraId="4CDDE7B1" w14:textId="77777777" w:rsidR="003713D3" w:rsidRDefault="003713D3" w:rsidP="0046726D">
      <w:pPr>
        <w:rPr>
          <w:b/>
          <w:bCs/>
        </w:rPr>
      </w:pPr>
      <w:r>
        <w:rPr>
          <w:b/>
          <w:bCs/>
        </w:rPr>
        <w:t>ETYKIETA STOSOWANIA ŚRODKA OCHRONY ROŚLIN</w:t>
      </w:r>
    </w:p>
    <w:p w14:paraId="780E588D" w14:textId="6F0913DD" w:rsidR="003713D3" w:rsidRDefault="003713D3" w:rsidP="0046726D">
      <w:pPr>
        <w:rPr>
          <w:b/>
          <w:bCs/>
        </w:rPr>
      </w:pPr>
      <w:r>
        <w:rPr>
          <w:b/>
          <w:bCs/>
        </w:rPr>
        <w:t xml:space="preserve">LISTA POWIERZCHNI LEŚNYCH OBJETYCH STOWOWANIEM ŚRODKA CHEMICZNEGO </w:t>
      </w:r>
    </w:p>
    <w:p w14:paraId="6189BD6F" w14:textId="77777777" w:rsidR="0087722F" w:rsidRPr="00162040" w:rsidRDefault="0087722F" w:rsidP="0087722F">
      <w:pPr>
        <w:jc w:val="both"/>
      </w:pPr>
      <w:r w:rsidRPr="00162040">
        <w:t>Precyzyjne zaplanowanie czynności, nie jest możliwe, głównie ze względu na to, że trudno jest przewidzieć warunki meteorologiczne roku następnego (budowa planów gospodarczych rozpoczyna się w czerwcu roku poprzedniego) planowane dane są danymi szacunkowymi. Ostateczną decyzję o rozpoczęciu prac na danej pozycji podejmuje się wyłącznie na podstawie aktualnej sytuacji stwierdzonej na gruncie.</w:t>
      </w:r>
    </w:p>
    <w:p w14:paraId="7C353678" w14:textId="77777777" w:rsidR="0087722F" w:rsidRPr="00162040" w:rsidRDefault="0087722F" w:rsidP="0087722F">
      <w:pPr>
        <w:jc w:val="both"/>
      </w:pPr>
      <w:r w:rsidRPr="00162040">
        <w:t>W związku z powyższym powierzchnie te powinny być aktualizowane w zależności od potrzeb stanowiąc wykaz faktycznej lokalizacji wykonanych zabiegu.</w:t>
      </w:r>
    </w:p>
    <w:p w14:paraId="4A4C05DD" w14:textId="5BBD0421" w:rsidR="0087722F" w:rsidRDefault="0087722F" w:rsidP="0046726D">
      <w:pPr>
        <w:rPr>
          <w:b/>
          <w:bCs/>
        </w:rPr>
      </w:pPr>
    </w:p>
    <w:p w14:paraId="7D544C1D" w14:textId="25F8E47B" w:rsidR="0087722F" w:rsidRDefault="0087722F" w:rsidP="0046726D">
      <w:pPr>
        <w:rPr>
          <w:b/>
          <w:bCs/>
        </w:rPr>
      </w:pPr>
    </w:p>
    <w:p w14:paraId="5862048B" w14:textId="3176586F" w:rsidR="0087722F" w:rsidRDefault="0087722F" w:rsidP="0046726D">
      <w:pPr>
        <w:rPr>
          <w:b/>
          <w:bCs/>
        </w:rPr>
      </w:pPr>
      <w:r>
        <w:rPr>
          <w:b/>
          <w:bCs/>
        </w:rPr>
        <w:t>Grzegorz Młynar</w:t>
      </w:r>
    </w:p>
    <w:sectPr w:rsidR="0087722F" w:rsidSect="0037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FF73" w14:textId="77777777" w:rsidR="0090298F" w:rsidRDefault="0090298F" w:rsidP="00552E01">
      <w:pPr>
        <w:spacing w:after="0" w:line="240" w:lineRule="auto"/>
      </w:pPr>
      <w:r>
        <w:separator/>
      </w:r>
    </w:p>
  </w:endnote>
  <w:endnote w:type="continuationSeparator" w:id="0">
    <w:p w14:paraId="20DAEB4E" w14:textId="77777777" w:rsidR="0090298F" w:rsidRDefault="0090298F" w:rsidP="0055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5E85" w14:textId="77777777" w:rsidR="0090298F" w:rsidRDefault="0090298F" w:rsidP="00552E01">
      <w:pPr>
        <w:spacing w:after="0" w:line="240" w:lineRule="auto"/>
      </w:pPr>
      <w:r>
        <w:separator/>
      </w:r>
    </w:p>
  </w:footnote>
  <w:footnote w:type="continuationSeparator" w:id="0">
    <w:p w14:paraId="3CB39B19" w14:textId="77777777" w:rsidR="0090298F" w:rsidRDefault="0090298F" w:rsidP="00552E01">
      <w:pPr>
        <w:spacing w:after="0" w:line="240" w:lineRule="auto"/>
      </w:pPr>
      <w:r>
        <w:continuationSeparator/>
      </w:r>
    </w:p>
  </w:footnote>
  <w:footnote w:id="1">
    <w:p w14:paraId="597C5465" w14:textId="77777777" w:rsidR="00154505" w:rsidRPr="003C78D8" w:rsidRDefault="00154505" w:rsidP="00552E01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1</w:t>
      </w:r>
      <w:r>
        <w:rPr>
          <w:rFonts w:ascii="Arial" w:hAnsi="Arial"/>
        </w:rPr>
        <w:t xml:space="preserve">Strategie łagodzące zostaną opracowane z uwzględnieniem co najmniej poniższego minimalnego wykazu zmiennych narażenia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12C"/>
    <w:multiLevelType w:val="hybridMultilevel"/>
    <w:tmpl w:val="1898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0698"/>
    <w:multiLevelType w:val="hybridMultilevel"/>
    <w:tmpl w:val="9D5E8DDE"/>
    <w:lvl w:ilvl="0" w:tplc="A89E65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4D9D"/>
    <w:multiLevelType w:val="hybridMultilevel"/>
    <w:tmpl w:val="904AF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5324"/>
    <w:multiLevelType w:val="hybridMultilevel"/>
    <w:tmpl w:val="CEFA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A4387"/>
    <w:multiLevelType w:val="hybridMultilevel"/>
    <w:tmpl w:val="E8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2A4A"/>
    <w:multiLevelType w:val="hybridMultilevel"/>
    <w:tmpl w:val="1A4894DC"/>
    <w:lvl w:ilvl="0" w:tplc="A0160A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C313E"/>
    <w:multiLevelType w:val="hybridMultilevel"/>
    <w:tmpl w:val="B7F817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8A"/>
    <w:rsid w:val="00020459"/>
    <w:rsid w:val="000221E8"/>
    <w:rsid w:val="00030C2A"/>
    <w:rsid w:val="00041190"/>
    <w:rsid w:val="00045D4C"/>
    <w:rsid w:val="00055548"/>
    <w:rsid w:val="00061009"/>
    <w:rsid w:val="000663E5"/>
    <w:rsid w:val="00071373"/>
    <w:rsid w:val="00071432"/>
    <w:rsid w:val="000732E6"/>
    <w:rsid w:val="00074A63"/>
    <w:rsid w:val="00077A74"/>
    <w:rsid w:val="00080157"/>
    <w:rsid w:val="000C20CD"/>
    <w:rsid w:val="000C6135"/>
    <w:rsid w:val="000C656F"/>
    <w:rsid w:val="000E783E"/>
    <w:rsid w:val="000F0B2F"/>
    <w:rsid w:val="00105AC7"/>
    <w:rsid w:val="00114C59"/>
    <w:rsid w:val="00122211"/>
    <w:rsid w:val="00127E96"/>
    <w:rsid w:val="001536B1"/>
    <w:rsid w:val="00154505"/>
    <w:rsid w:val="00154CA3"/>
    <w:rsid w:val="00173151"/>
    <w:rsid w:val="001B0588"/>
    <w:rsid w:val="001B4825"/>
    <w:rsid w:val="001C01EB"/>
    <w:rsid w:val="001C39B1"/>
    <w:rsid w:val="001D0F4C"/>
    <w:rsid w:val="001D679E"/>
    <w:rsid w:val="001E5DAD"/>
    <w:rsid w:val="001F5E80"/>
    <w:rsid w:val="00214D40"/>
    <w:rsid w:val="00232C6E"/>
    <w:rsid w:val="002531D4"/>
    <w:rsid w:val="00261BFD"/>
    <w:rsid w:val="00264F2B"/>
    <w:rsid w:val="00272DD3"/>
    <w:rsid w:val="00274385"/>
    <w:rsid w:val="002A239C"/>
    <w:rsid w:val="002C4BBB"/>
    <w:rsid w:val="002C5AD8"/>
    <w:rsid w:val="002D3A3F"/>
    <w:rsid w:val="002E07FF"/>
    <w:rsid w:val="002F33F9"/>
    <w:rsid w:val="002F3C2F"/>
    <w:rsid w:val="002F448A"/>
    <w:rsid w:val="0031261D"/>
    <w:rsid w:val="00316A95"/>
    <w:rsid w:val="003532F2"/>
    <w:rsid w:val="003713D3"/>
    <w:rsid w:val="00397A18"/>
    <w:rsid w:val="003A2AE6"/>
    <w:rsid w:val="003A37EC"/>
    <w:rsid w:val="003B1580"/>
    <w:rsid w:val="003B4A5B"/>
    <w:rsid w:val="003B4B82"/>
    <w:rsid w:val="003B5DE6"/>
    <w:rsid w:val="003E7543"/>
    <w:rsid w:val="004020CC"/>
    <w:rsid w:val="00411B67"/>
    <w:rsid w:val="004138DE"/>
    <w:rsid w:val="00413ED4"/>
    <w:rsid w:val="00423ABD"/>
    <w:rsid w:val="00426EC3"/>
    <w:rsid w:val="00430488"/>
    <w:rsid w:val="00443403"/>
    <w:rsid w:val="00466B5D"/>
    <w:rsid w:val="0046726D"/>
    <w:rsid w:val="00470A23"/>
    <w:rsid w:val="00487F09"/>
    <w:rsid w:val="004A41BD"/>
    <w:rsid w:val="004B0D58"/>
    <w:rsid w:val="004B1F50"/>
    <w:rsid w:val="004C7445"/>
    <w:rsid w:val="004F1208"/>
    <w:rsid w:val="00502F15"/>
    <w:rsid w:val="00503AD6"/>
    <w:rsid w:val="0050410D"/>
    <w:rsid w:val="005109F8"/>
    <w:rsid w:val="005225C8"/>
    <w:rsid w:val="0053535C"/>
    <w:rsid w:val="00541632"/>
    <w:rsid w:val="00543B98"/>
    <w:rsid w:val="00552E01"/>
    <w:rsid w:val="00557B79"/>
    <w:rsid w:val="00557DE8"/>
    <w:rsid w:val="0057496C"/>
    <w:rsid w:val="00595EA4"/>
    <w:rsid w:val="005B1D4A"/>
    <w:rsid w:val="005B21F1"/>
    <w:rsid w:val="005C2C16"/>
    <w:rsid w:val="005D1758"/>
    <w:rsid w:val="005F3C5E"/>
    <w:rsid w:val="0060045E"/>
    <w:rsid w:val="0060498D"/>
    <w:rsid w:val="00606A36"/>
    <w:rsid w:val="006249EA"/>
    <w:rsid w:val="00631391"/>
    <w:rsid w:val="006636DD"/>
    <w:rsid w:val="00665425"/>
    <w:rsid w:val="00672686"/>
    <w:rsid w:val="0068426D"/>
    <w:rsid w:val="0069511A"/>
    <w:rsid w:val="00696E1F"/>
    <w:rsid w:val="006B4D14"/>
    <w:rsid w:val="006C5FBB"/>
    <w:rsid w:val="006D46E4"/>
    <w:rsid w:val="006D6DF5"/>
    <w:rsid w:val="006E5ECF"/>
    <w:rsid w:val="007029E2"/>
    <w:rsid w:val="00704AEB"/>
    <w:rsid w:val="007061C9"/>
    <w:rsid w:val="0072023E"/>
    <w:rsid w:val="007248AE"/>
    <w:rsid w:val="007269DA"/>
    <w:rsid w:val="00731024"/>
    <w:rsid w:val="007506BC"/>
    <w:rsid w:val="00750B6E"/>
    <w:rsid w:val="0077331F"/>
    <w:rsid w:val="007752A1"/>
    <w:rsid w:val="00775B9B"/>
    <w:rsid w:val="007813F6"/>
    <w:rsid w:val="007B26A5"/>
    <w:rsid w:val="007B41E2"/>
    <w:rsid w:val="007B568B"/>
    <w:rsid w:val="007C044E"/>
    <w:rsid w:val="007D5441"/>
    <w:rsid w:val="007F79EE"/>
    <w:rsid w:val="008101AF"/>
    <w:rsid w:val="00844916"/>
    <w:rsid w:val="0086182E"/>
    <w:rsid w:val="0087518E"/>
    <w:rsid w:val="0087554B"/>
    <w:rsid w:val="0087722F"/>
    <w:rsid w:val="00886B28"/>
    <w:rsid w:val="0089578E"/>
    <w:rsid w:val="008B3FEC"/>
    <w:rsid w:val="008C0CAA"/>
    <w:rsid w:val="008D1C7E"/>
    <w:rsid w:val="008E19AC"/>
    <w:rsid w:val="0090298F"/>
    <w:rsid w:val="00904596"/>
    <w:rsid w:val="00907C66"/>
    <w:rsid w:val="00913C09"/>
    <w:rsid w:val="009155F3"/>
    <w:rsid w:val="00931BA9"/>
    <w:rsid w:val="00946EE8"/>
    <w:rsid w:val="00962C48"/>
    <w:rsid w:val="00977C25"/>
    <w:rsid w:val="009B21C3"/>
    <w:rsid w:val="009C56CA"/>
    <w:rsid w:val="009D5956"/>
    <w:rsid w:val="00A054EA"/>
    <w:rsid w:val="00A075DA"/>
    <w:rsid w:val="00A25886"/>
    <w:rsid w:val="00A44BDA"/>
    <w:rsid w:val="00A45640"/>
    <w:rsid w:val="00A57CC4"/>
    <w:rsid w:val="00A757BE"/>
    <w:rsid w:val="00AA0532"/>
    <w:rsid w:val="00AA3BCA"/>
    <w:rsid w:val="00AB3441"/>
    <w:rsid w:val="00AC47D7"/>
    <w:rsid w:val="00AC4B8B"/>
    <w:rsid w:val="00AC6317"/>
    <w:rsid w:val="00AD0083"/>
    <w:rsid w:val="00AD146C"/>
    <w:rsid w:val="00AD422B"/>
    <w:rsid w:val="00AD43B8"/>
    <w:rsid w:val="00AD6BC8"/>
    <w:rsid w:val="00AE4FBF"/>
    <w:rsid w:val="00B312DA"/>
    <w:rsid w:val="00B91844"/>
    <w:rsid w:val="00B9537C"/>
    <w:rsid w:val="00BA3E98"/>
    <w:rsid w:val="00BB4ACD"/>
    <w:rsid w:val="00BB4DB7"/>
    <w:rsid w:val="00BD6310"/>
    <w:rsid w:val="00BE1168"/>
    <w:rsid w:val="00BE4E1B"/>
    <w:rsid w:val="00C23B4D"/>
    <w:rsid w:val="00C37558"/>
    <w:rsid w:val="00C436AE"/>
    <w:rsid w:val="00C56B12"/>
    <w:rsid w:val="00C62FAF"/>
    <w:rsid w:val="00C67540"/>
    <w:rsid w:val="00C740FA"/>
    <w:rsid w:val="00C7522E"/>
    <w:rsid w:val="00C80DC7"/>
    <w:rsid w:val="00C8236D"/>
    <w:rsid w:val="00C82D89"/>
    <w:rsid w:val="00C83210"/>
    <w:rsid w:val="00C8765D"/>
    <w:rsid w:val="00CA1B01"/>
    <w:rsid w:val="00CA50AD"/>
    <w:rsid w:val="00CB38F4"/>
    <w:rsid w:val="00CC29B1"/>
    <w:rsid w:val="00CD7B6B"/>
    <w:rsid w:val="00CF61DF"/>
    <w:rsid w:val="00D10CA3"/>
    <w:rsid w:val="00D12AEA"/>
    <w:rsid w:val="00D20229"/>
    <w:rsid w:val="00D351E9"/>
    <w:rsid w:val="00D41FD9"/>
    <w:rsid w:val="00D4740B"/>
    <w:rsid w:val="00D70B18"/>
    <w:rsid w:val="00D805C9"/>
    <w:rsid w:val="00D83F3D"/>
    <w:rsid w:val="00D915AB"/>
    <w:rsid w:val="00D9564F"/>
    <w:rsid w:val="00DA0DF8"/>
    <w:rsid w:val="00DD1491"/>
    <w:rsid w:val="00DD625D"/>
    <w:rsid w:val="00DE5D6D"/>
    <w:rsid w:val="00DE7576"/>
    <w:rsid w:val="00DF1467"/>
    <w:rsid w:val="00DF3CC0"/>
    <w:rsid w:val="00DF794B"/>
    <w:rsid w:val="00E00E99"/>
    <w:rsid w:val="00E11D7A"/>
    <w:rsid w:val="00E12A57"/>
    <w:rsid w:val="00E215D3"/>
    <w:rsid w:val="00E26FA4"/>
    <w:rsid w:val="00E365DB"/>
    <w:rsid w:val="00E36E97"/>
    <w:rsid w:val="00E37E5A"/>
    <w:rsid w:val="00E41379"/>
    <w:rsid w:val="00E434EC"/>
    <w:rsid w:val="00E9102F"/>
    <w:rsid w:val="00EB250C"/>
    <w:rsid w:val="00EC4079"/>
    <w:rsid w:val="00F050D7"/>
    <w:rsid w:val="00F207AC"/>
    <w:rsid w:val="00F21F90"/>
    <w:rsid w:val="00F305AD"/>
    <w:rsid w:val="00F31F48"/>
    <w:rsid w:val="00F36B61"/>
    <w:rsid w:val="00F37C0C"/>
    <w:rsid w:val="00F64C8F"/>
    <w:rsid w:val="00F65EE8"/>
    <w:rsid w:val="00F8467E"/>
    <w:rsid w:val="00FA6741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4727"/>
  <w15:chartTrackingRefBased/>
  <w15:docId w15:val="{77532EF7-34DE-4B6B-B857-64D10E0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102F"/>
    <w:rPr>
      <w:b/>
      <w:bCs/>
    </w:rPr>
  </w:style>
  <w:style w:type="paragraph" w:customStyle="1" w:styleId="Default">
    <w:name w:val="Default"/>
    <w:rsid w:val="007B56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E0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E01"/>
    <w:rPr>
      <w:vertAlign w:val="superscript"/>
    </w:rPr>
  </w:style>
  <w:style w:type="table" w:styleId="Tabela-Siatka">
    <w:name w:val="Table Grid"/>
    <w:basedOn w:val="Standardowy"/>
    <w:uiPriority w:val="59"/>
    <w:rsid w:val="00552E01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B312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9E2"/>
  </w:style>
  <w:style w:type="paragraph" w:styleId="Stopka">
    <w:name w:val="footer"/>
    <w:basedOn w:val="Normalny"/>
    <w:link w:val="Stopka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9E2"/>
  </w:style>
  <w:style w:type="paragraph" w:styleId="Akapitzlist">
    <w:name w:val="List Paragraph"/>
    <w:basedOn w:val="Normalny"/>
    <w:uiPriority w:val="34"/>
    <w:qFormat/>
    <w:rsid w:val="00F37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14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B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3B1580"/>
  </w:style>
  <w:style w:type="character" w:customStyle="1" w:styleId="kwal">
    <w:name w:val="kwal"/>
    <w:basedOn w:val="Domylnaczcionkaakapitu"/>
    <w:rsid w:val="00913C09"/>
  </w:style>
  <w:style w:type="character" w:customStyle="1" w:styleId="def">
    <w:name w:val="def"/>
    <w:basedOn w:val="Domylnaczcionkaakapitu"/>
    <w:rsid w:val="00913C09"/>
  </w:style>
  <w:style w:type="character" w:styleId="Odwoaniedokomentarza">
    <w:name w:val="annotation reference"/>
    <w:basedOn w:val="Domylnaczcionkaakapitu"/>
    <w:uiPriority w:val="99"/>
    <w:semiHidden/>
    <w:unhideWhenUsed/>
    <w:rsid w:val="00D20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0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0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229"/>
    <w:rPr>
      <w:b/>
      <w:bCs/>
      <w:sz w:val="20"/>
      <w:szCs w:val="20"/>
    </w:rPr>
  </w:style>
  <w:style w:type="paragraph" w:customStyle="1" w:styleId="LPpodstawowyinterlinia1">
    <w:name w:val="LP_podstawowy_interlinia1"/>
    <w:basedOn w:val="Normalny"/>
    <w:rsid w:val="00041190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/ochrona_lasu/srodki-ochrony-rosl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pesticides.fsc.org/strategy-databa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C611-2560-4B73-96D3-2B5D3DD9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5439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38002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RDLP Zielona Gora</cp:lastModifiedBy>
  <cp:revision>7</cp:revision>
  <cp:lastPrinted>2021-01-25T12:52:00Z</cp:lastPrinted>
  <dcterms:created xsi:type="dcterms:W3CDTF">2021-03-15T12:28:00Z</dcterms:created>
  <dcterms:modified xsi:type="dcterms:W3CDTF">2021-05-06T09:01:00Z</dcterms:modified>
</cp:coreProperties>
</file>